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7F74" w14:textId="686E37FC" w:rsidR="00AD5BCE" w:rsidRPr="00FB20CB" w:rsidRDefault="009E285A" w:rsidP="00B477CF">
      <w:pPr>
        <w:pStyle w:val="TITTLE3"/>
        <w:rPr>
          <w:rFonts w:cs="Arial"/>
          <w:lang w:val="el-GR"/>
        </w:rPr>
      </w:pPr>
      <w:r w:rsidRPr="00FB20CB">
        <w:rPr>
          <w:rFonts w:cs="Arial"/>
          <w:lang w:val="el-GR"/>
        </w:rPr>
        <w:t xml:space="preserve">ΑΠΟΤΕΛΕΣΜΑΤΑ ΟΜΙΛΟΥ ΟΤΕ ΓΙΑ ΤΟ </w:t>
      </w:r>
      <w:r w:rsidR="0032759E">
        <w:rPr>
          <w:rFonts w:cs="Arial"/>
          <w:lang w:val="el-GR"/>
        </w:rPr>
        <w:t>Α</w:t>
      </w:r>
      <w:r w:rsidRPr="00FB20CB">
        <w:rPr>
          <w:rFonts w:cs="Arial"/>
          <w:lang w:val="el-GR"/>
        </w:rPr>
        <w:t>’ ΤΡΙΜΗΝΟ 202</w:t>
      </w:r>
      <w:r w:rsidR="0032759E">
        <w:rPr>
          <w:rFonts w:cs="Arial"/>
          <w:lang w:val="el-GR"/>
        </w:rPr>
        <w:t>6</w:t>
      </w:r>
    </w:p>
    <w:p w14:paraId="4EFB8B35" w14:textId="77777777" w:rsidR="00DA1C50" w:rsidRPr="00C73E12" w:rsidRDefault="00DA1C50" w:rsidP="00972866">
      <w:pPr>
        <w:pStyle w:val="Heading1"/>
        <w:pBdr>
          <w:bottom w:val="single" w:sz="2" w:space="1" w:color="004E9A"/>
        </w:pBdr>
        <w:jc w:val="left"/>
        <w:rPr>
          <w:caps/>
          <w:smallCaps w:val="0"/>
          <w:color w:val="004E9A"/>
          <w:sz w:val="24"/>
          <w:u w:val="none"/>
          <w:lang w:val="el-GR"/>
        </w:rPr>
      </w:pPr>
    </w:p>
    <w:p w14:paraId="7A9E7437" w14:textId="56C497AC" w:rsidR="0016208B" w:rsidRPr="00972866" w:rsidRDefault="006E2EDC" w:rsidP="00972866">
      <w:pPr>
        <w:pStyle w:val="Heading1"/>
        <w:pBdr>
          <w:bottom w:val="single" w:sz="2" w:space="1" w:color="004E9A"/>
        </w:pBdr>
        <w:jc w:val="left"/>
        <w:rPr>
          <w:caps/>
          <w:smallCaps w:val="0"/>
          <w:color w:val="004E9A"/>
          <w:sz w:val="24"/>
          <w:u w:val="none"/>
        </w:rPr>
      </w:pPr>
      <w:r w:rsidRPr="00972866">
        <w:rPr>
          <w:caps/>
          <w:smallCaps w:val="0"/>
          <w:color w:val="004E9A"/>
          <w:sz w:val="24"/>
          <w:u w:val="none"/>
        </w:rPr>
        <w:t>Σ</w:t>
      </w:r>
      <w:r w:rsidR="00972866">
        <w:rPr>
          <w:caps/>
          <w:smallCaps w:val="0"/>
          <w:color w:val="004E9A"/>
          <w:sz w:val="24"/>
          <w:u w:val="none"/>
        </w:rPr>
        <w:t>y</w:t>
      </w:r>
      <w:r w:rsidRPr="00972866">
        <w:rPr>
          <w:caps/>
          <w:smallCaps w:val="0"/>
          <w:color w:val="004E9A"/>
          <w:sz w:val="24"/>
          <w:u w:val="none"/>
        </w:rPr>
        <w:t xml:space="preserve">νοψη </w:t>
      </w:r>
    </w:p>
    <w:p w14:paraId="7E31C7A2" w14:textId="77777777" w:rsidR="00DA1C50" w:rsidRPr="009B6850" w:rsidRDefault="00DA1C50" w:rsidP="009B6850">
      <w:pPr>
        <w:pStyle w:val="ListParagraph"/>
        <w:spacing w:after="180" w:line="276" w:lineRule="auto"/>
        <w:ind w:left="426"/>
        <w:jc w:val="both"/>
        <w:rPr>
          <w:rFonts w:ascii="Arial" w:hAnsi="Arial" w:cs="Arial"/>
          <w:bCs/>
          <w:sz w:val="22"/>
          <w:szCs w:val="22"/>
          <w:lang w:val="el-GR"/>
        </w:rPr>
      </w:pPr>
    </w:p>
    <w:p w14:paraId="2FB7F7C8" w14:textId="37081049" w:rsidR="005739F2" w:rsidRPr="00A102DC" w:rsidRDefault="00BF79A1" w:rsidP="005739F2">
      <w:pPr>
        <w:pStyle w:val="ListParagraph"/>
        <w:numPr>
          <w:ilvl w:val="0"/>
          <w:numId w:val="3"/>
        </w:numPr>
        <w:spacing w:after="180" w:line="276" w:lineRule="auto"/>
        <w:ind w:left="426"/>
        <w:jc w:val="both"/>
        <w:rPr>
          <w:rFonts w:ascii="Arial" w:hAnsi="Arial" w:cs="Arial"/>
          <w:bCs/>
          <w:sz w:val="22"/>
          <w:szCs w:val="22"/>
          <w:lang w:val="el-GR"/>
        </w:rPr>
      </w:pPr>
      <w:r w:rsidRPr="00BF79A1">
        <w:rPr>
          <w:rFonts w:ascii="Arial" w:hAnsi="Arial" w:cs="Arial"/>
          <w:bCs/>
          <w:color w:val="000000" w:themeColor="text1"/>
          <w:sz w:val="22"/>
          <w:szCs w:val="22"/>
          <w:lang w:val="el-GR"/>
        </w:rPr>
        <w:t xml:space="preserve">Δυναμικό ξεκίνημα </w:t>
      </w:r>
      <w:r w:rsidR="00E105B5">
        <w:rPr>
          <w:rFonts w:ascii="Arial" w:hAnsi="Arial" w:cs="Arial"/>
          <w:bCs/>
          <w:color w:val="000000" w:themeColor="text1"/>
          <w:sz w:val="22"/>
          <w:szCs w:val="22"/>
          <w:lang w:val="el-GR"/>
        </w:rPr>
        <w:t>για τη χρονιά</w:t>
      </w:r>
      <w:r w:rsidR="0058466F" w:rsidRPr="00C21DDC">
        <w:rPr>
          <w:rFonts w:ascii="Arial" w:hAnsi="Arial" w:cs="Arial"/>
          <w:bCs/>
          <w:color w:val="000000" w:themeColor="text1"/>
          <w:sz w:val="22"/>
          <w:szCs w:val="22"/>
          <w:lang w:val="el-GR"/>
        </w:rPr>
        <w:t>,</w:t>
      </w:r>
      <w:r w:rsidR="0058466F">
        <w:rPr>
          <w:rFonts w:ascii="Arial" w:hAnsi="Arial" w:cs="Arial"/>
          <w:bCs/>
          <w:color w:val="000000" w:themeColor="text1"/>
          <w:sz w:val="22"/>
          <w:szCs w:val="22"/>
          <w:lang w:val="el-GR"/>
        </w:rPr>
        <w:t xml:space="preserve"> με</w:t>
      </w:r>
      <w:r w:rsidR="00753FE3" w:rsidRPr="00BF79A1">
        <w:rPr>
          <w:rFonts w:ascii="Arial" w:hAnsi="Arial" w:cs="Arial"/>
          <w:bCs/>
          <w:color w:val="000000" w:themeColor="text1"/>
          <w:sz w:val="22"/>
          <w:szCs w:val="22"/>
          <w:lang w:val="el-GR"/>
        </w:rPr>
        <w:t xml:space="preserve"> </w:t>
      </w:r>
      <w:r w:rsidR="0058466F">
        <w:rPr>
          <w:rFonts w:ascii="Arial" w:hAnsi="Arial" w:cs="Arial"/>
          <w:bCs/>
          <w:color w:val="000000" w:themeColor="text1"/>
          <w:sz w:val="22"/>
          <w:szCs w:val="22"/>
          <w:lang w:val="el-GR"/>
        </w:rPr>
        <w:t>α</w:t>
      </w:r>
      <w:r w:rsidR="00AA56F9" w:rsidRPr="00BF79A1">
        <w:rPr>
          <w:rFonts w:ascii="Arial" w:hAnsi="Arial" w:cs="Arial"/>
          <w:bCs/>
          <w:color w:val="000000" w:themeColor="text1"/>
          <w:sz w:val="22"/>
          <w:szCs w:val="22"/>
          <w:lang w:val="el-GR"/>
        </w:rPr>
        <w:t xml:space="preserve">ύξηση </w:t>
      </w:r>
      <w:r w:rsidR="0058466F">
        <w:rPr>
          <w:rFonts w:ascii="Arial" w:hAnsi="Arial" w:cs="Arial"/>
          <w:bCs/>
          <w:color w:val="000000" w:themeColor="text1"/>
          <w:sz w:val="22"/>
          <w:szCs w:val="22"/>
          <w:lang w:val="el-GR"/>
        </w:rPr>
        <w:t xml:space="preserve">κατά </w:t>
      </w:r>
      <w:r w:rsidRPr="00BF79A1">
        <w:rPr>
          <w:rFonts w:ascii="Arial" w:hAnsi="Arial" w:cs="Arial"/>
          <w:bCs/>
          <w:color w:val="000000" w:themeColor="text1"/>
          <w:sz w:val="22"/>
          <w:szCs w:val="22"/>
          <w:lang w:val="el-GR"/>
        </w:rPr>
        <w:t>4,9</w:t>
      </w:r>
      <w:r w:rsidR="00AA56F9" w:rsidRPr="00BF79A1">
        <w:rPr>
          <w:rFonts w:ascii="Arial" w:hAnsi="Arial" w:cs="Arial"/>
          <w:bCs/>
          <w:color w:val="000000" w:themeColor="text1"/>
          <w:sz w:val="22"/>
          <w:szCs w:val="22"/>
          <w:lang w:val="el-GR"/>
        </w:rPr>
        <w:t xml:space="preserve">% στα έσοδα και </w:t>
      </w:r>
      <w:r w:rsidR="0058466F">
        <w:rPr>
          <w:rFonts w:ascii="Arial" w:hAnsi="Arial" w:cs="Arial"/>
          <w:bCs/>
          <w:color w:val="000000" w:themeColor="text1"/>
          <w:sz w:val="22"/>
          <w:szCs w:val="22"/>
          <w:lang w:val="el-GR"/>
        </w:rPr>
        <w:t xml:space="preserve">κατά </w:t>
      </w:r>
      <w:r w:rsidR="00AA56F9" w:rsidRPr="00BF79A1">
        <w:rPr>
          <w:rFonts w:ascii="Arial" w:hAnsi="Arial" w:cs="Arial"/>
          <w:bCs/>
          <w:color w:val="000000" w:themeColor="text1"/>
          <w:sz w:val="22"/>
          <w:szCs w:val="22"/>
          <w:lang w:val="el-GR"/>
        </w:rPr>
        <w:t>2,</w:t>
      </w:r>
      <w:r w:rsidRPr="00BF79A1">
        <w:rPr>
          <w:rFonts w:ascii="Arial" w:hAnsi="Arial" w:cs="Arial"/>
          <w:bCs/>
          <w:color w:val="000000" w:themeColor="text1"/>
          <w:sz w:val="22"/>
          <w:szCs w:val="22"/>
          <w:lang w:val="el-GR"/>
        </w:rPr>
        <w:t>8</w:t>
      </w:r>
      <w:r w:rsidR="00AA56F9" w:rsidRPr="00BF79A1">
        <w:rPr>
          <w:rFonts w:ascii="Arial" w:hAnsi="Arial" w:cs="Arial"/>
          <w:bCs/>
          <w:color w:val="000000" w:themeColor="text1"/>
          <w:sz w:val="22"/>
          <w:szCs w:val="22"/>
          <w:lang w:val="el-GR"/>
        </w:rPr>
        <w:t>% στο προσαρμοσμένο EBITDA (AL</w:t>
      </w:r>
      <w:r w:rsidR="000B4F3B" w:rsidRPr="00BF79A1">
        <w:rPr>
          <w:rFonts w:ascii="Arial" w:hAnsi="Arial" w:cs="Arial"/>
          <w:bCs/>
          <w:color w:val="000000" w:themeColor="text1"/>
          <w:sz w:val="22"/>
          <w:szCs w:val="22"/>
          <w:lang w:val="el-GR"/>
        </w:rPr>
        <w:t>)</w:t>
      </w:r>
      <w:r w:rsidR="00E105B5">
        <w:rPr>
          <w:rFonts w:ascii="Arial" w:hAnsi="Arial" w:cs="Arial"/>
          <w:bCs/>
          <w:color w:val="000000" w:themeColor="text1"/>
          <w:sz w:val="22"/>
          <w:szCs w:val="22"/>
          <w:lang w:val="el-GR"/>
        </w:rPr>
        <w:t xml:space="preserve"> -</w:t>
      </w:r>
      <w:r w:rsidR="00045DEF">
        <w:rPr>
          <w:rFonts w:ascii="Arial" w:hAnsi="Arial" w:cs="Arial"/>
          <w:bCs/>
          <w:color w:val="000000" w:themeColor="text1"/>
          <w:sz w:val="22"/>
          <w:szCs w:val="22"/>
          <w:lang w:val="el-GR"/>
        </w:rPr>
        <w:t xml:space="preserve"> </w:t>
      </w:r>
      <w:r w:rsidR="00ED4C3D">
        <w:rPr>
          <w:rFonts w:ascii="Arial" w:hAnsi="Arial" w:cs="Arial"/>
          <w:bCs/>
          <w:color w:val="000000" w:themeColor="text1"/>
          <w:sz w:val="22"/>
          <w:szCs w:val="22"/>
          <w:lang w:val="el-GR"/>
        </w:rPr>
        <w:t>σύμφωνα με</w:t>
      </w:r>
      <w:r w:rsidR="00C76392">
        <w:rPr>
          <w:rFonts w:ascii="Arial" w:hAnsi="Arial" w:cs="Arial"/>
          <w:bCs/>
          <w:color w:val="000000" w:themeColor="text1"/>
          <w:sz w:val="22"/>
          <w:szCs w:val="22"/>
          <w:lang w:val="el-GR"/>
        </w:rPr>
        <w:t xml:space="preserve"> </w:t>
      </w:r>
      <w:r w:rsidR="00045DEF">
        <w:rPr>
          <w:rFonts w:ascii="Arial" w:hAnsi="Arial" w:cs="Arial"/>
          <w:bCs/>
          <w:color w:val="000000" w:themeColor="text1"/>
          <w:sz w:val="22"/>
          <w:szCs w:val="22"/>
          <w:lang w:val="el-GR"/>
        </w:rPr>
        <w:t>τον</w:t>
      </w:r>
      <w:r w:rsidRPr="00BF79A1">
        <w:rPr>
          <w:rFonts w:ascii="Arial" w:hAnsi="Arial" w:cs="Arial"/>
          <w:bCs/>
          <w:color w:val="000000" w:themeColor="text1"/>
          <w:sz w:val="22"/>
          <w:szCs w:val="22"/>
          <w:lang w:val="el-GR"/>
        </w:rPr>
        <w:t xml:space="preserve"> </w:t>
      </w:r>
      <w:r w:rsidR="00EA4079" w:rsidRPr="00BF79A1">
        <w:rPr>
          <w:rFonts w:ascii="Arial" w:hAnsi="Arial" w:cs="Arial"/>
          <w:bCs/>
          <w:color w:val="000000" w:themeColor="text1"/>
          <w:sz w:val="22"/>
          <w:szCs w:val="22"/>
          <w:lang w:val="el-GR"/>
        </w:rPr>
        <w:t>στόχ</w:t>
      </w:r>
      <w:r w:rsidR="00577929">
        <w:rPr>
          <w:rFonts w:ascii="Arial" w:hAnsi="Arial" w:cs="Arial"/>
          <w:bCs/>
          <w:color w:val="000000" w:themeColor="text1"/>
          <w:sz w:val="22"/>
          <w:szCs w:val="22"/>
          <w:lang w:val="el-GR"/>
        </w:rPr>
        <w:t xml:space="preserve">ο </w:t>
      </w:r>
      <w:r w:rsidR="00C76392">
        <w:rPr>
          <w:rFonts w:ascii="Arial" w:hAnsi="Arial" w:cs="Arial"/>
          <w:bCs/>
          <w:color w:val="000000" w:themeColor="text1"/>
          <w:sz w:val="22"/>
          <w:szCs w:val="22"/>
          <w:lang w:val="el-GR"/>
        </w:rPr>
        <w:t xml:space="preserve">για </w:t>
      </w:r>
      <w:r w:rsidR="00EA4079" w:rsidRPr="00BF79A1">
        <w:rPr>
          <w:rFonts w:ascii="Arial" w:hAnsi="Arial" w:cs="Arial"/>
          <w:bCs/>
          <w:color w:val="000000" w:themeColor="text1"/>
          <w:sz w:val="22"/>
          <w:szCs w:val="22"/>
          <w:lang w:val="el-GR"/>
        </w:rPr>
        <w:t>π</w:t>
      </w:r>
      <w:r w:rsidR="00EA4079" w:rsidRPr="00BF79A1">
        <w:rPr>
          <w:rFonts w:ascii="Arial" w:hAnsi="Arial" w:cs="Arial"/>
          <w:bCs/>
          <w:color w:val="000000" w:themeColor="text1"/>
          <w:sz w:val="22"/>
          <w:lang w:val="el-GR"/>
        </w:rPr>
        <w:t xml:space="preserve">ροσαρμοσμένο </w:t>
      </w:r>
      <w:r w:rsidR="00EA4079" w:rsidRPr="00BF79A1">
        <w:rPr>
          <w:rFonts w:ascii="Arial" w:hAnsi="Arial" w:cs="Arial"/>
          <w:bCs/>
          <w:color w:val="000000" w:themeColor="text1"/>
          <w:sz w:val="22"/>
        </w:rPr>
        <w:t>EBITDA</w:t>
      </w:r>
      <w:r w:rsidR="00EA4079" w:rsidRPr="00BF79A1">
        <w:rPr>
          <w:rFonts w:ascii="Arial" w:hAnsi="Arial" w:cs="Arial"/>
          <w:bCs/>
          <w:color w:val="000000" w:themeColor="text1"/>
          <w:sz w:val="22"/>
          <w:lang w:val="el-GR"/>
        </w:rPr>
        <w:t xml:space="preserve"> (</w:t>
      </w:r>
      <w:r w:rsidR="00EA4079" w:rsidRPr="00BF79A1">
        <w:rPr>
          <w:rFonts w:ascii="Arial" w:hAnsi="Arial" w:cs="Arial"/>
          <w:bCs/>
          <w:color w:val="000000" w:themeColor="text1"/>
          <w:sz w:val="22"/>
        </w:rPr>
        <w:t>AL</w:t>
      </w:r>
      <w:r w:rsidR="00EA4079" w:rsidRPr="00BF79A1">
        <w:rPr>
          <w:rFonts w:ascii="Arial" w:hAnsi="Arial" w:cs="Arial"/>
          <w:bCs/>
          <w:color w:val="000000" w:themeColor="text1"/>
          <w:sz w:val="22"/>
          <w:lang w:val="el-GR"/>
        </w:rPr>
        <w:t>) ~3%</w:t>
      </w:r>
      <w:r w:rsidR="00EA4079" w:rsidRPr="00BF79A1">
        <w:rPr>
          <w:rFonts w:ascii="Arial" w:hAnsi="Arial" w:cs="Arial"/>
          <w:bCs/>
          <w:color w:val="000000" w:themeColor="text1"/>
          <w:sz w:val="22"/>
          <w:szCs w:val="22"/>
          <w:lang w:val="el-GR"/>
        </w:rPr>
        <w:t xml:space="preserve"> </w:t>
      </w:r>
      <w:r w:rsidR="00F027BE" w:rsidRPr="00BF79A1" w:rsidDel="0072620D">
        <w:rPr>
          <w:rFonts w:ascii="Arial" w:hAnsi="Arial" w:cs="Arial"/>
          <w:bCs/>
          <w:color w:val="000000" w:themeColor="text1"/>
          <w:sz w:val="22"/>
          <w:lang w:val="el-GR"/>
        </w:rPr>
        <w:t xml:space="preserve">για </w:t>
      </w:r>
      <w:r w:rsidR="00F027BE" w:rsidRPr="00BF79A1">
        <w:rPr>
          <w:rFonts w:ascii="Arial" w:hAnsi="Arial" w:cs="Arial"/>
          <w:bCs/>
          <w:color w:val="000000" w:themeColor="text1"/>
          <w:sz w:val="22"/>
          <w:lang w:val="el-GR"/>
        </w:rPr>
        <w:t>το 2026</w:t>
      </w:r>
    </w:p>
    <w:p w14:paraId="50F7D268" w14:textId="641EDC37" w:rsidR="00EF5CE9" w:rsidRPr="00BF79A1" w:rsidRDefault="00EF5CE9" w:rsidP="009B6850">
      <w:pPr>
        <w:pStyle w:val="ListParagraph"/>
        <w:numPr>
          <w:ilvl w:val="0"/>
          <w:numId w:val="3"/>
        </w:numPr>
        <w:spacing w:after="180" w:line="276" w:lineRule="auto"/>
        <w:ind w:left="426"/>
        <w:jc w:val="both"/>
        <w:rPr>
          <w:rFonts w:ascii="Arial" w:hAnsi="Arial" w:cs="Arial"/>
          <w:bCs/>
          <w:color w:val="000000" w:themeColor="text1"/>
          <w:sz w:val="22"/>
          <w:szCs w:val="22"/>
          <w:lang w:val="el-GR"/>
        </w:rPr>
      </w:pPr>
      <w:r>
        <w:rPr>
          <w:rFonts w:ascii="Arial" w:hAnsi="Arial" w:cs="Arial"/>
          <w:bCs/>
          <w:color w:val="000000" w:themeColor="text1"/>
          <w:sz w:val="22"/>
          <w:szCs w:val="22"/>
          <w:lang w:val="el-GR"/>
        </w:rPr>
        <w:t>Τα έσοδα από υπηρεσίες κινητής διατήρησαν την ισχυρή δυναμική τους, αυξημένα κατά 5,5% στο τρίμηνο</w:t>
      </w:r>
      <w:r w:rsidR="002D1EB2">
        <w:rPr>
          <w:rFonts w:ascii="Arial" w:hAnsi="Arial" w:cs="Arial"/>
          <w:bCs/>
          <w:color w:val="000000" w:themeColor="text1"/>
          <w:sz w:val="22"/>
          <w:szCs w:val="22"/>
          <w:lang w:val="el-GR"/>
        </w:rPr>
        <w:t xml:space="preserve"> </w:t>
      </w:r>
      <w:r>
        <w:rPr>
          <w:rFonts w:ascii="Arial" w:hAnsi="Arial" w:cs="Arial"/>
          <w:bCs/>
          <w:color w:val="000000" w:themeColor="text1"/>
          <w:sz w:val="22"/>
          <w:szCs w:val="22"/>
          <w:lang w:val="el-GR"/>
        </w:rPr>
        <w:t xml:space="preserve">- </w:t>
      </w:r>
      <w:r w:rsidRPr="00EF5CE9">
        <w:rPr>
          <w:rFonts w:ascii="Arial" w:hAnsi="Arial" w:cs="Arial"/>
          <w:bCs/>
          <w:color w:val="000000" w:themeColor="text1"/>
          <w:sz w:val="22"/>
          <w:szCs w:val="22"/>
          <w:lang w:val="el-GR"/>
        </w:rPr>
        <w:t>Οι καθαρές προσθήκες συνδρομητών συμβολαίο</w:t>
      </w:r>
      <w:r>
        <w:rPr>
          <w:rFonts w:ascii="Arial" w:hAnsi="Arial" w:cs="Arial"/>
          <w:bCs/>
          <w:color w:val="000000" w:themeColor="text1"/>
          <w:sz w:val="22"/>
          <w:szCs w:val="22"/>
          <w:lang w:val="el-GR"/>
        </w:rPr>
        <w:t>υ</w:t>
      </w:r>
      <w:r w:rsidRPr="00EF5CE9">
        <w:rPr>
          <w:rFonts w:ascii="Arial" w:hAnsi="Arial" w:cs="Arial"/>
          <w:bCs/>
          <w:color w:val="000000" w:themeColor="text1"/>
          <w:sz w:val="22"/>
          <w:szCs w:val="22"/>
          <w:lang w:val="el-GR"/>
        </w:rPr>
        <w:t xml:space="preserve"> </w:t>
      </w:r>
      <w:r w:rsidRPr="00EF5CE9" w:rsidDel="00D02F65">
        <w:rPr>
          <w:rFonts w:ascii="Arial" w:hAnsi="Arial" w:cs="Arial"/>
          <w:bCs/>
          <w:color w:val="000000" w:themeColor="text1"/>
          <w:sz w:val="22"/>
          <w:szCs w:val="22"/>
          <w:lang w:val="el-GR"/>
        </w:rPr>
        <w:t>αυξήθηκα</w:t>
      </w:r>
      <w:r w:rsidRPr="00EF5CE9">
        <w:rPr>
          <w:rFonts w:ascii="Arial" w:hAnsi="Arial" w:cs="Arial"/>
          <w:bCs/>
          <w:color w:val="000000" w:themeColor="text1"/>
          <w:sz w:val="22"/>
          <w:szCs w:val="22"/>
          <w:lang w:val="el-GR"/>
        </w:rPr>
        <w:t xml:space="preserve">ν κατά 7,6%, </w:t>
      </w:r>
      <w:r w:rsidR="00091A96">
        <w:rPr>
          <w:rFonts w:ascii="Arial" w:hAnsi="Arial" w:cs="Arial"/>
          <w:bCs/>
          <w:color w:val="000000" w:themeColor="text1"/>
          <w:sz w:val="22"/>
          <w:szCs w:val="22"/>
          <w:lang w:val="el-GR"/>
        </w:rPr>
        <w:t>καταγράφοντας</w:t>
      </w:r>
      <w:r w:rsidRPr="00EF5CE9" w:rsidDel="00091A96">
        <w:rPr>
          <w:rFonts w:ascii="Arial" w:hAnsi="Arial" w:cs="Arial"/>
          <w:bCs/>
          <w:color w:val="000000" w:themeColor="text1"/>
          <w:sz w:val="22"/>
          <w:szCs w:val="22"/>
          <w:lang w:val="el-GR"/>
        </w:rPr>
        <w:t xml:space="preserve"> ρεκόρ ανάπτυξης</w:t>
      </w:r>
    </w:p>
    <w:p w14:paraId="20DE7F38" w14:textId="24C1DDD3" w:rsidR="00A30F61" w:rsidRPr="00A30F61" w:rsidRDefault="008A2163" w:rsidP="00A30F61">
      <w:pPr>
        <w:pStyle w:val="ListParagraph"/>
        <w:numPr>
          <w:ilvl w:val="0"/>
          <w:numId w:val="3"/>
        </w:numPr>
        <w:spacing w:after="180" w:line="276" w:lineRule="auto"/>
        <w:ind w:left="426"/>
        <w:jc w:val="both"/>
        <w:rPr>
          <w:rFonts w:ascii="Arial" w:hAnsi="Arial" w:cs="Arial"/>
          <w:bCs/>
          <w:color w:val="000000" w:themeColor="text1"/>
          <w:sz w:val="22"/>
          <w:szCs w:val="22"/>
          <w:lang w:val="el-GR"/>
        </w:rPr>
      </w:pPr>
      <w:r w:rsidRPr="00A30F61">
        <w:rPr>
          <w:rFonts w:ascii="Arial" w:hAnsi="Arial" w:cs="Arial"/>
          <w:bCs/>
          <w:color w:val="000000" w:themeColor="text1"/>
          <w:sz w:val="22"/>
          <w:szCs w:val="22"/>
          <w:lang w:val="el-GR"/>
        </w:rPr>
        <w:t>Σε</w:t>
      </w:r>
      <w:r w:rsidR="00427192">
        <w:rPr>
          <w:rFonts w:ascii="Arial" w:hAnsi="Arial" w:cs="Arial"/>
          <w:bCs/>
          <w:color w:val="000000" w:themeColor="text1"/>
          <w:sz w:val="22"/>
          <w:szCs w:val="22"/>
          <w:lang w:val="el-GR"/>
        </w:rPr>
        <w:t xml:space="preserve"> </w:t>
      </w:r>
      <w:r w:rsidR="0089082B" w:rsidRPr="00A30F61">
        <w:rPr>
          <w:rFonts w:ascii="Arial" w:hAnsi="Arial" w:cs="Arial"/>
          <w:bCs/>
          <w:color w:val="000000" w:themeColor="text1"/>
          <w:sz w:val="22"/>
          <w:szCs w:val="22"/>
          <w:lang w:val="el-GR"/>
        </w:rPr>
        <w:t xml:space="preserve">τροχιά </w:t>
      </w:r>
      <w:r w:rsidRPr="00A30F61" w:rsidDel="00427192">
        <w:rPr>
          <w:rFonts w:ascii="Arial" w:hAnsi="Arial" w:cs="Arial"/>
          <w:bCs/>
          <w:color w:val="000000" w:themeColor="text1"/>
          <w:sz w:val="22"/>
          <w:szCs w:val="22"/>
          <w:lang w:val="el-GR"/>
        </w:rPr>
        <w:t>ανάπτυξη</w:t>
      </w:r>
      <w:r w:rsidR="0089082B" w:rsidRPr="00A30F61" w:rsidDel="00427192">
        <w:rPr>
          <w:rFonts w:ascii="Arial" w:hAnsi="Arial" w:cs="Arial"/>
          <w:bCs/>
          <w:color w:val="000000" w:themeColor="text1"/>
          <w:sz w:val="22"/>
          <w:szCs w:val="22"/>
          <w:lang w:val="el-GR"/>
        </w:rPr>
        <w:t>ς</w:t>
      </w:r>
      <w:r w:rsidRPr="00A30F61">
        <w:rPr>
          <w:rFonts w:ascii="Arial" w:hAnsi="Arial" w:cs="Arial"/>
          <w:bCs/>
          <w:color w:val="000000" w:themeColor="text1"/>
          <w:sz w:val="22"/>
          <w:szCs w:val="22"/>
          <w:lang w:val="el-GR"/>
        </w:rPr>
        <w:t xml:space="preserve"> τα έσοδα από υπηρεσίες λιανικής σταθερής</w:t>
      </w:r>
      <w:r w:rsidR="0089082B" w:rsidRPr="00A30F61">
        <w:rPr>
          <w:rFonts w:ascii="Arial" w:hAnsi="Arial" w:cs="Arial"/>
          <w:bCs/>
          <w:color w:val="000000" w:themeColor="text1"/>
          <w:sz w:val="22"/>
          <w:szCs w:val="22"/>
          <w:lang w:val="el-GR"/>
        </w:rPr>
        <w:t xml:space="preserve">, αυξημένα </w:t>
      </w:r>
      <w:r w:rsidR="00486BD9" w:rsidRPr="00A30F61">
        <w:rPr>
          <w:rFonts w:ascii="Arial" w:hAnsi="Arial" w:cs="Arial"/>
          <w:bCs/>
          <w:color w:val="000000" w:themeColor="text1"/>
          <w:sz w:val="22"/>
          <w:szCs w:val="22"/>
          <w:lang w:val="el-GR"/>
        </w:rPr>
        <w:t xml:space="preserve">κατά </w:t>
      </w:r>
      <w:r w:rsidR="00D369B5" w:rsidRPr="00A30F61">
        <w:rPr>
          <w:rFonts w:ascii="Arial" w:hAnsi="Arial" w:cs="Arial"/>
          <w:bCs/>
          <w:color w:val="000000" w:themeColor="text1"/>
          <w:sz w:val="22"/>
          <w:szCs w:val="22"/>
          <w:lang w:val="el-GR"/>
        </w:rPr>
        <w:t>1,1</w:t>
      </w:r>
      <w:r w:rsidR="00ED4C3D">
        <w:rPr>
          <w:rFonts w:ascii="Arial" w:hAnsi="Arial" w:cs="Arial"/>
          <w:bCs/>
          <w:color w:val="000000" w:themeColor="text1"/>
          <w:sz w:val="22"/>
          <w:szCs w:val="22"/>
          <w:lang w:val="el-GR"/>
        </w:rPr>
        <w:t>%</w:t>
      </w:r>
      <w:r w:rsidR="00333020">
        <w:rPr>
          <w:rFonts w:ascii="Arial" w:hAnsi="Arial" w:cs="Arial"/>
          <w:bCs/>
          <w:color w:val="000000" w:themeColor="text1"/>
          <w:sz w:val="22"/>
          <w:szCs w:val="22"/>
          <w:lang w:val="el-GR"/>
        </w:rPr>
        <w:t>,</w:t>
      </w:r>
      <w:r w:rsidR="00A30F61" w:rsidRPr="00A30F61">
        <w:rPr>
          <w:rFonts w:ascii="Arial" w:hAnsi="Arial" w:cs="Arial"/>
          <w:bCs/>
          <w:color w:val="000000" w:themeColor="text1"/>
          <w:sz w:val="22"/>
          <w:szCs w:val="22"/>
          <w:lang w:val="el-GR"/>
        </w:rPr>
        <w:t xml:space="preserve"> </w:t>
      </w:r>
      <w:r w:rsidR="005D5F0D">
        <w:rPr>
          <w:rFonts w:ascii="Arial" w:hAnsi="Arial" w:cs="Arial"/>
          <w:bCs/>
          <w:color w:val="000000" w:themeColor="text1"/>
          <w:sz w:val="22"/>
          <w:szCs w:val="22"/>
          <w:lang w:val="el-GR"/>
        </w:rPr>
        <w:t>με</w:t>
      </w:r>
      <w:r w:rsidR="00733849">
        <w:rPr>
          <w:rFonts w:ascii="Arial" w:hAnsi="Arial" w:cs="Arial"/>
          <w:bCs/>
          <w:color w:val="000000" w:themeColor="text1"/>
          <w:sz w:val="22"/>
          <w:szCs w:val="22"/>
          <w:lang w:val="el-GR"/>
        </w:rPr>
        <w:t xml:space="preserve"> ι</w:t>
      </w:r>
      <w:r w:rsidR="004E6F5D" w:rsidRPr="00A30F61">
        <w:rPr>
          <w:rFonts w:ascii="Arial" w:hAnsi="Arial" w:cs="Arial"/>
          <w:bCs/>
          <w:color w:val="000000" w:themeColor="text1"/>
          <w:sz w:val="22"/>
          <w:szCs w:val="22"/>
          <w:lang w:val="el-GR"/>
        </w:rPr>
        <w:t>σχυρές επιδόσεις σ</w:t>
      </w:r>
      <w:r w:rsidR="00427192">
        <w:rPr>
          <w:rFonts w:ascii="Arial" w:hAnsi="Arial" w:cs="Arial"/>
          <w:bCs/>
          <w:color w:val="000000" w:themeColor="text1"/>
          <w:sz w:val="22"/>
          <w:szCs w:val="22"/>
          <w:lang w:val="el-GR"/>
        </w:rPr>
        <w:t>ε</w:t>
      </w:r>
      <w:r w:rsidR="004E6F5D" w:rsidRPr="00A30F61">
        <w:rPr>
          <w:rFonts w:ascii="Arial" w:hAnsi="Arial" w:cs="Arial"/>
          <w:bCs/>
          <w:color w:val="000000" w:themeColor="text1"/>
          <w:sz w:val="22"/>
          <w:szCs w:val="22"/>
          <w:lang w:val="el-GR"/>
        </w:rPr>
        <w:t xml:space="preserve"> FTTH</w:t>
      </w:r>
      <w:r w:rsidR="00ED4C3D">
        <w:rPr>
          <w:rFonts w:ascii="Arial" w:hAnsi="Arial" w:cs="Arial"/>
          <w:bCs/>
          <w:color w:val="000000" w:themeColor="text1"/>
          <w:sz w:val="22"/>
          <w:szCs w:val="22"/>
          <w:lang w:val="el-GR"/>
        </w:rPr>
        <w:t xml:space="preserve">, </w:t>
      </w:r>
      <w:r w:rsidR="00ED4C3D">
        <w:rPr>
          <w:rFonts w:ascii="Arial" w:hAnsi="Arial" w:cs="Arial"/>
          <w:bCs/>
          <w:color w:val="000000" w:themeColor="text1"/>
          <w:sz w:val="22"/>
          <w:szCs w:val="22"/>
        </w:rPr>
        <w:t>FWA</w:t>
      </w:r>
      <w:r w:rsidR="00A30F61" w:rsidRPr="00A30F61">
        <w:rPr>
          <w:rFonts w:ascii="Arial" w:hAnsi="Arial" w:cs="Arial"/>
          <w:bCs/>
          <w:color w:val="000000" w:themeColor="text1"/>
          <w:sz w:val="22"/>
          <w:szCs w:val="22"/>
          <w:lang w:val="el-GR"/>
        </w:rPr>
        <w:t xml:space="preserve"> </w:t>
      </w:r>
      <w:r w:rsidR="00427192">
        <w:rPr>
          <w:rFonts w:ascii="Arial" w:hAnsi="Arial" w:cs="Arial"/>
          <w:bCs/>
          <w:color w:val="000000" w:themeColor="text1"/>
          <w:sz w:val="22"/>
          <w:szCs w:val="22"/>
          <w:lang w:val="el-GR"/>
        </w:rPr>
        <w:t>και</w:t>
      </w:r>
      <w:r w:rsidR="00A30F61" w:rsidRPr="00A30F61">
        <w:rPr>
          <w:rFonts w:ascii="Arial" w:hAnsi="Arial" w:cs="Arial"/>
          <w:bCs/>
          <w:color w:val="000000" w:themeColor="text1"/>
          <w:sz w:val="22"/>
          <w:szCs w:val="22"/>
          <w:lang w:val="el-GR"/>
        </w:rPr>
        <w:t xml:space="preserve"> τηλεόραση</w:t>
      </w:r>
    </w:p>
    <w:p w14:paraId="16D41548" w14:textId="34E87179" w:rsidR="008A2163" w:rsidRPr="00160098" w:rsidRDefault="0078678E" w:rsidP="00A30F61">
      <w:pPr>
        <w:pStyle w:val="ListParagraph"/>
        <w:numPr>
          <w:ilvl w:val="0"/>
          <w:numId w:val="3"/>
        </w:numPr>
        <w:spacing w:after="180" w:line="276" w:lineRule="auto"/>
        <w:ind w:left="426"/>
        <w:jc w:val="both"/>
        <w:rPr>
          <w:rFonts w:ascii="Arial" w:hAnsi="Arial" w:cs="Arial"/>
          <w:sz w:val="22"/>
          <w:szCs w:val="22"/>
          <w:lang w:val="el-GR"/>
        </w:rPr>
      </w:pPr>
      <w:r>
        <w:rPr>
          <w:rFonts w:ascii="Arial" w:hAnsi="Arial" w:cs="Arial"/>
          <w:bCs/>
          <w:color w:val="000000" w:themeColor="text1"/>
          <w:sz w:val="22"/>
          <w:szCs w:val="22"/>
          <w:lang w:val="el-GR"/>
        </w:rPr>
        <w:t>Ι</w:t>
      </w:r>
      <w:r w:rsidR="00FB2050" w:rsidRPr="00FB2050">
        <w:rPr>
          <w:rFonts w:ascii="Arial" w:hAnsi="Arial" w:cs="Arial"/>
          <w:bCs/>
          <w:color w:val="000000" w:themeColor="text1"/>
          <w:sz w:val="22"/>
          <w:szCs w:val="22"/>
          <w:lang w:val="el-GR"/>
        </w:rPr>
        <w:t>σχυρή ανάπτυξη στο FTTH</w:t>
      </w:r>
      <w:r w:rsidR="00A71C84">
        <w:rPr>
          <w:rFonts w:ascii="Arial" w:hAnsi="Arial" w:cs="Arial"/>
          <w:bCs/>
          <w:color w:val="000000" w:themeColor="text1"/>
          <w:sz w:val="22"/>
          <w:szCs w:val="22"/>
          <w:lang w:val="el-GR"/>
        </w:rPr>
        <w:t xml:space="preserve"> με τους </w:t>
      </w:r>
      <w:r w:rsidR="005739F2">
        <w:rPr>
          <w:rFonts w:ascii="Arial" w:hAnsi="Arial" w:cs="Arial"/>
          <w:bCs/>
          <w:color w:val="000000" w:themeColor="text1"/>
          <w:sz w:val="22"/>
          <w:szCs w:val="22"/>
          <w:lang w:val="el-GR"/>
        </w:rPr>
        <w:t xml:space="preserve">συνδρομητές </w:t>
      </w:r>
      <w:r w:rsidR="00A71C84">
        <w:rPr>
          <w:rFonts w:ascii="Arial" w:hAnsi="Arial" w:cs="Arial"/>
          <w:bCs/>
          <w:color w:val="000000" w:themeColor="text1"/>
          <w:sz w:val="22"/>
          <w:szCs w:val="22"/>
          <w:lang w:val="el-GR"/>
        </w:rPr>
        <w:t>να ανέρχονται</w:t>
      </w:r>
      <w:r w:rsidR="005739F2">
        <w:rPr>
          <w:rFonts w:ascii="Arial" w:hAnsi="Arial" w:cs="Arial"/>
          <w:bCs/>
          <w:color w:val="000000" w:themeColor="text1"/>
          <w:sz w:val="22"/>
          <w:szCs w:val="22"/>
          <w:lang w:val="el-GR"/>
        </w:rPr>
        <w:t xml:space="preserve"> σε</w:t>
      </w:r>
      <w:r w:rsidR="00FB2050" w:rsidRPr="00FB2050">
        <w:rPr>
          <w:rFonts w:ascii="Arial" w:hAnsi="Arial" w:cs="Arial"/>
          <w:bCs/>
          <w:color w:val="000000" w:themeColor="text1"/>
          <w:sz w:val="22"/>
          <w:szCs w:val="22"/>
          <w:lang w:val="el-GR"/>
        </w:rPr>
        <w:t xml:space="preserve"> 625 χιλ.</w:t>
      </w:r>
      <w:r w:rsidR="005F606E">
        <w:rPr>
          <w:rFonts w:ascii="Arial" w:hAnsi="Arial" w:cs="Arial"/>
          <w:bCs/>
          <w:color w:val="000000" w:themeColor="text1"/>
          <w:sz w:val="22"/>
          <w:szCs w:val="22"/>
          <w:lang w:val="el-GR"/>
        </w:rPr>
        <w:t>-</w:t>
      </w:r>
      <w:r w:rsidR="00FB2050" w:rsidRPr="00FB2050">
        <w:rPr>
          <w:rFonts w:ascii="Arial" w:hAnsi="Arial" w:cs="Arial"/>
          <w:bCs/>
          <w:color w:val="000000" w:themeColor="text1"/>
          <w:sz w:val="22"/>
          <w:szCs w:val="22"/>
          <w:lang w:val="el-GR"/>
        </w:rPr>
        <w:t xml:space="preserve"> ακόμη ένα τρίμηνο </w:t>
      </w:r>
      <w:r w:rsidR="005F606E">
        <w:rPr>
          <w:rFonts w:ascii="Arial" w:hAnsi="Arial" w:cs="Arial"/>
          <w:bCs/>
          <w:color w:val="000000" w:themeColor="text1"/>
          <w:sz w:val="22"/>
          <w:szCs w:val="22"/>
          <w:lang w:val="el-GR"/>
        </w:rPr>
        <w:t xml:space="preserve">με </w:t>
      </w:r>
      <w:r w:rsidR="001542FA">
        <w:rPr>
          <w:rFonts w:ascii="Arial" w:hAnsi="Arial" w:cs="Arial"/>
          <w:bCs/>
          <w:color w:val="000000" w:themeColor="text1"/>
          <w:sz w:val="22"/>
          <w:szCs w:val="22"/>
          <w:lang w:val="el-GR"/>
        </w:rPr>
        <w:t xml:space="preserve">προσθήκες </w:t>
      </w:r>
      <w:r w:rsidR="00FB2050" w:rsidRPr="00FB2050">
        <w:rPr>
          <w:rFonts w:ascii="Arial" w:hAnsi="Arial" w:cs="Arial"/>
          <w:bCs/>
          <w:color w:val="000000" w:themeColor="text1"/>
          <w:sz w:val="22"/>
          <w:szCs w:val="22"/>
          <w:lang w:val="el-GR"/>
        </w:rPr>
        <w:t xml:space="preserve">ρεκόρ </w:t>
      </w:r>
      <w:r w:rsidR="001542FA">
        <w:rPr>
          <w:rFonts w:ascii="Arial" w:hAnsi="Arial" w:cs="Arial"/>
          <w:bCs/>
          <w:color w:val="000000" w:themeColor="text1"/>
          <w:sz w:val="22"/>
          <w:szCs w:val="22"/>
          <w:lang w:val="el-GR"/>
        </w:rPr>
        <w:t xml:space="preserve">πάνω από </w:t>
      </w:r>
      <w:r w:rsidR="00FB2050" w:rsidRPr="00160098">
        <w:rPr>
          <w:rFonts w:ascii="Arial" w:hAnsi="Arial" w:cs="Arial"/>
          <w:sz w:val="22"/>
          <w:szCs w:val="22"/>
          <w:lang w:val="el-GR"/>
        </w:rPr>
        <w:t>58 χιλ.</w:t>
      </w:r>
    </w:p>
    <w:p w14:paraId="171760A0" w14:textId="55306BE8" w:rsidR="00C73C47" w:rsidRPr="00C73C47" w:rsidRDefault="009C3BF9" w:rsidP="00C73C47">
      <w:pPr>
        <w:pStyle w:val="ListParagraph"/>
        <w:numPr>
          <w:ilvl w:val="0"/>
          <w:numId w:val="3"/>
        </w:numPr>
        <w:spacing w:after="180" w:line="276" w:lineRule="auto"/>
        <w:ind w:left="426"/>
        <w:jc w:val="both"/>
        <w:rPr>
          <w:rFonts w:ascii="Arial" w:hAnsi="Arial" w:cs="Arial"/>
          <w:bCs/>
          <w:color w:val="000000" w:themeColor="text1"/>
          <w:sz w:val="22"/>
          <w:szCs w:val="22"/>
          <w:lang w:val="el-GR"/>
        </w:rPr>
      </w:pPr>
      <w:r w:rsidRPr="00160098">
        <w:rPr>
          <w:rFonts w:ascii="Arial" w:hAnsi="Arial" w:cs="Arial"/>
          <w:sz w:val="22"/>
          <w:szCs w:val="22"/>
          <w:lang w:val="el-GR"/>
        </w:rPr>
        <w:t>Δ</w:t>
      </w:r>
      <w:r w:rsidR="008A2163" w:rsidRPr="00160098">
        <w:rPr>
          <w:rFonts w:ascii="Arial" w:hAnsi="Arial" w:cs="Arial"/>
          <w:sz w:val="22"/>
          <w:szCs w:val="22"/>
          <w:lang w:val="el-GR"/>
        </w:rPr>
        <w:t xml:space="preserve">ιαθεσιμότητα FTTH </w:t>
      </w:r>
      <w:r w:rsidR="00B81D72" w:rsidRPr="00160098">
        <w:rPr>
          <w:rFonts w:ascii="Arial" w:hAnsi="Arial" w:cs="Arial"/>
          <w:sz w:val="22"/>
          <w:szCs w:val="22"/>
          <w:lang w:val="el-GR"/>
        </w:rPr>
        <w:t>σε πάνω από</w:t>
      </w:r>
      <w:r w:rsidR="008A2163" w:rsidRPr="00160098">
        <w:rPr>
          <w:rFonts w:ascii="Arial" w:hAnsi="Arial" w:cs="Arial"/>
          <w:sz w:val="22"/>
          <w:szCs w:val="22"/>
          <w:lang w:val="el-GR"/>
        </w:rPr>
        <w:t xml:space="preserve"> </w:t>
      </w:r>
      <w:r w:rsidR="003E7459" w:rsidRPr="00160098">
        <w:rPr>
          <w:rFonts w:ascii="Arial" w:hAnsi="Arial" w:cs="Arial"/>
          <w:sz w:val="22"/>
          <w:szCs w:val="22"/>
          <w:lang w:val="el-GR"/>
        </w:rPr>
        <w:t>2</w:t>
      </w:r>
      <w:r w:rsidR="00972F7E" w:rsidRPr="00160098">
        <w:rPr>
          <w:rFonts w:ascii="Arial" w:hAnsi="Arial" w:cs="Arial"/>
          <w:sz w:val="22"/>
          <w:szCs w:val="22"/>
          <w:lang w:val="el-GR"/>
        </w:rPr>
        <w:t>,1</w:t>
      </w:r>
      <w:r w:rsidR="008A2163" w:rsidRPr="00160098">
        <w:rPr>
          <w:rFonts w:ascii="Arial" w:hAnsi="Arial" w:cs="Arial"/>
          <w:sz w:val="22"/>
          <w:szCs w:val="22"/>
          <w:lang w:val="el-GR"/>
        </w:rPr>
        <w:t xml:space="preserve"> εκατ. νοικοκυριά κι επιχειρήσεις</w:t>
      </w:r>
      <w:r w:rsidR="008A2163" w:rsidRPr="00B36AB5">
        <w:rPr>
          <w:rFonts w:ascii="Arial" w:hAnsi="Arial" w:cs="Arial"/>
          <w:bCs/>
          <w:color w:val="000000" w:themeColor="text1"/>
          <w:sz w:val="22"/>
          <w:szCs w:val="22"/>
          <w:lang w:val="el-GR"/>
        </w:rPr>
        <w:t xml:space="preserve">, με </w:t>
      </w:r>
      <w:r w:rsidR="00493C47" w:rsidRPr="00B36AB5">
        <w:rPr>
          <w:rFonts w:ascii="Arial" w:hAnsi="Arial" w:cs="Arial"/>
          <w:bCs/>
          <w:color w:val="000000" w:themeColor="text1"/>
          <w:sz w:val="22"/>
          <w:szCs w:val="22"/>
          <w:lang w:val="el-GR"/>
        </w:rPr>
        <w:t>τη</w:t>
      </w:r>
      <w:r w:rsidR="008A2163" w:rsidRPr="00B36AB5">
        <w:rPr>
          <w:rFonts w:ascii="Arial" w:hAnsi="Arial" w:cs="Arial"/>
          <w:bCs/>
          <w:color w:val="000000" w:themeColor="text1"/>
          <w:sz w:val="22"/>
          <w:szCs w:val="22"/>
          <w:lang w:val="el-GR"/>
        </w:rPr>
        <w:t xml:space="preserve"> διείσδυση να αυξάνεται σε 3</w:t>
      </w:r>
      <w:r w:rsidR="00B36AB5" w:rsidRPr="00B36AB5">
        <w:rPr>
          <w:rFonts w:ascii="Arial" w:hAnsi="Arial" w:cs="Arial"/>
          <w:bCs/>
          <w:color w:val="000000" w:themeColor="text1"/>
          <w:sz w:val="22"/>
          <w:szCs w:val="22"/>
          <w:lang w:val="el-GR"/>
        </w:rPr>
        <w:t>9</w:t>
      </w:r>
      <w:r w:rsidR="008A2163" w:rsidRPr="00B36AB5">
        <w:rPr>
          <w:rFonts w:ascii="Arial" w:hAnsi="Arial" w:cs="Arial"/>
          <w:bCs/>
          <w:color w:val="000000" w:themeColor="text1"/>
          <w:sz w:val="22"/>
          <w:szCs w:val="22"/>
          <w:lang w:val="el-GR"/>
        </w:rPr>
        <w:t>%</w:t>
      </w:r>
      <w:r w:rsidR="00BB3B48" w:rsidRPr="00B36AB5">
        <w:rPr>
          <w:rFonts w:ascii="Arial" w:hAnsi="Arial" w:cs="Arial"/>
          <w:bCs/>
          <w:color w:val="000000" w:themeColor="text1"/>
          <w:sz w:val="22"/>
          <w:szCs w:val="22"/>
          <w:lang w:val="el-GR"/>
        </w:rPr>
        <w:t xml:space="preserve"> </w:t>
      </w:r>
      <w:r w:rsidR="00B36AB5" w:rsidRPr="00B36AB5">
        <w:rPr>
          <w:rFonts w:ascii="Arial" w:hAnsi="Arial" w:cs="Arial"/>
          <w:bCs/>
          <w:color w:val="000000" w:themeColor="text1"/>
          <w:sz w:val="22"/>
          <w:szCs w:val="22"/>
          <w:lang w:val="el-GR"/>
        </w:rPr>
        <w:t>-</w:t>
      </w:r>
      <w:r w:rsidR="00B36AB5">
        <w:rPr>
          <w:rFonts w:ascii="Arial" w:hAnsi="Arial" w:cs="Arial"/>
          <w:bCs/>
          <w:color w:val="000000" w:themeColor="text1"/>
          <w:sz w:val="22"/>
          <w:szCs w:val="22"/>
          <w:lang w:val="el-GR"/>
        </w:rPr>
        <w:t xml:space="preserve"> </w:t>
      </w:r>
      <w:r w:rsidR="00B376F7">
        <w:rPr>
          <w:rFonts w:ascii="Arial" w:hAnsi="Arial" w:cs="Arial"/>
          <w:bCs/>
          <w:color w:val="000000" w:themeColor="text1"/>
          <w:sz w:val="22"/>
          <w:szCs w:val="22"/>
          <w:lang w:val="el-GR"/>
        </w:rPr>
        <w:t>Ε</w:t>
      </w:r>
      <w:r w:rsidR="00C73C47" w:rsidRPr="00C73C47">
        <w:rPr>
          <w:rFonts w:ascii="Arial" w:hAnsi="Arial" w:cs="Arial"/>
          <w:bCs/>
          <w:color w:val="000000" w:themeColor="text1"/>
          <w:sz w:val="22"/>
          <w:szCs w:val="22"/>
          <w:lang w:val="el-GR"/>
        </w:rPr>
        <w:t>μπορική διάθεση υπηρεσιών οπτικής ίνας στο πλαίσιο του έργου UFBB</w:t>
      </w:r>
    </w:p>
    <w:p w14:paraId="22C3D29B" w14:textId="349C091D" w:rsidR="006701A0" w:rsidRPr="00C73C47" w:rsidRDefault="006701A0" w:rsidP="00C73C47">
      <w:pPr>
        <w:autoSpaceDE w:val="0"/>
        <w:autoSpaceDN w:val="0"/>
        <w:adjustRightInd w:val="0"/>
        <w:spacing w:after="0" w:line="240" w:lineRule="auto"/>
        <w:rPr>
          <w:rFonts w:ascii="Arial" w:hAnsi="Arial" w:cs="Arial"/>
          <w:color w:val="FFFFFF"/>
          <w:sz w:val="21"/>
          <w:szCs w:val="21"/>
          <w14:ligatures w14:val="standardContextual"/>
        </w:rPr>
      </w:pPr>
      <w:r w:rsidRPr="00F027BE">
        <w:rPr>
          <w:rFonts w:ascii="Arial" w:hAnsi="Arial" w:cs="Arial"/>
          <w:b/>
          <w:bCs/>
          <w:color w:val="FFFFFF"/>
          <w:sz w:val="21"/>
          <w:szCs w:val="21"/>
          <w14:ligatures w14:val="standardContextual"/>
        </w:rPr>
        <w:t>Θα</w:t>
      </w:r>
      <w:r w:rsidRPr="00C73C47">
        <w:rPr>
          <w:rFonts w:ascii="Arial" w:hAnsi="Arial" w:cs="Arial"/>
          <w:b/>
          <w:bCs/>
          <w:color w:val="FFFFFF"/>
          <w:sz w:val="21"/>
          <w:szCs w:val="21"/>
          <w14:ligatures w14:val="standardContextual"/>
        </w:rPr>
        <w:t xml:space="preserve"> προσαρμοστεί σε περίπτωση πώλησης περιουσιακών στοιχείων (TKRM) </w:t>
      </w:r>
    </w:p>
    <w:p w14:paraId="65AB0017" w14:textId="5E66DC5F" w:rsidR="00DB61A4" w:rsidRPr="00851D9E" w:rsidRDefault="00DB61A4" w:rsidP="00DB61A4">
      <w:pPr>
        <w:pStyle w:val="ColorfulList-Accent11"/>
        <w:tabs>
          <w:tab w:val="left" w:pos="8595"/>
        </w:tabs>
        <w:ind w:left="0" w:right="414"/>
        <w:jc w:val="both"/>
        <w:rPr>
          <w:rFonts w:ascii="Arial" w:hAnsi="Arial" w:cs="Arial"/>
          <w:i/>
          <w:sz w:val="14"/>
          <w:szCs w:val="14"/>
          <w:lang w:val="el-GR"/>
        </w:rPr>
      </w:pPr>
    </w:p>
    <w:p w14:paraId="62E3AE99" w14:textId="12F4C4DF" w:rsidR="00475EE9" w:rsidRPr="00FB20CB" w:rsidRDefault="00475EE9" w:rsidP="00475EE9">
      <w:pPr>
        <w:pStyle w:val="Caption"/>
        <w:keepNext/>
        <w:rPr>
          <w:rFonts w:cs="Arial"/>
          <w:lang w:val="el-GR"/>
        </w:rPr>
      </w:pPr>
      <w:r w:rsidRPr="00FB20CB">
        <w:rPr>
          <w:rFonts w:cs="Arial"/>
          <w:lang w:val="el-GR"/>
        </w:rPr>
        <w:t xml:space="preserve">Βασικά Οικονομικά Στοιχεία  </w:t>
      </w:r>
    </w:p>
    <w:tbl>
      <w:tblPr>
        <w:tblStyle w:val="TableGrid"/>
        <w:tblW w:w="1063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78"/>
        <w:gridCol w:w="2078"/>
        <w:gridCol w:w="2016"/>
        <w:gridCol w:w="1567"/>
      </w:tblGrid>
      <w:tr w:rsidR="00386899" w:rsidRPr="002571F1" w14:paraId="5B24BB1A" w14:textId="77777777" w:rsidTr="004017C3">
        <w:trPr>
          <w:trHeight w:val="460"/>
        </w:trPr>
        <w:tc>
          <w:tcPr>
            <w:tcW w:w="4978" w:type="dxa"/>
            <w:tcBorders>
              <w:top w:val="single" w:sz="2" w:space="0" w:color="BFBFBF" w:themeColor="background1" w:themeShade="BF"/>
              <w:bottom w:val="single" w:sz="2" w:space="0" w:color="BFBFBF" w:themeColor="background1" w:themeShade="BF"/>
              <w:right w:val="single" w:sz="2" w:space="0" w:color="808080" w:themeColor="background1" w:themeShade="80"/>
            </w:tcBorders>
            <w:shd w:val="clear" w:color="auto" w:fill="F2F2F2" w:themeFill="background1" w:themeFillShade="F2"/>
            <w:vAlign w:val="center"/>
          </w:tcPr>
          <w:p w14:paraId="422D43BF" w14:textId="762A3411" w:rsidR="00F12B97" w:rsidRPr="00CC5811" w:rsidRDefault="00F12B97" w:rsidP="009D729A">
            <w:pPr>
              <w:pStyle w:val="ColorfulList-Accent11"/>
              <w:tabs>
                <w:tab w:val="left" w:pos="0"/>
                <w:tab w:val="left" w:pos="284"/>
              </w:tabs>
              <w:ind w:left="0" w:right="-90"/>
              <w:rPr>
                <w:rFonts w:ascii="Arial" w:hAnsi="Arial" w:cs="Arial"/>
                <w:i/>
                <w:color w:val="000000" w:themeColor="text1"/>
              </w:rPr>
            </w:pPr>
            <w:r w:rsidRPr="007763C7">
              <w:rPr>
                <w:rFonts w:ascii="Arial" w:hAnsi="Arial" w:cs="Arial"/>
                <w:b/>
                <w:sz w:val="18"/>
                <w:szCs w:val="18"/>
              </w:rPr>
              <w:t>(</w:t>
            </w:r>
            <w:r w:rsidRPr="007763C7">
              <w:rPr>
                <w:rFonts w:ascii="Arial" w:hAnsi="Arial" w:cs="Arial"/>
                <w:b/>
                <w:sz w:val="18"/>
                <w:szCs w:val="18"/>
                <w:lang w:val="el-GR"/>
              </w:rPr>
              <w:t>Εκατ</w:t>
            </w:r>
            <w:r>
              <w:rPr>
                <w:rFonts w:ascii="Arial" w:hAnsi="Arial" w:cs="Arial"/>
                <w:b/>
                <w:sz w:val="18"/>
                <w:szCs w:val="18"/>
                <w:lang w:val="el-GR"/>
              </w:rPr>
              <w:t>,</w:t>
            </w:r>
            <w:r w:rsidRPr="007763C7">
              <w:rPr>
                <w:rFonts w:ascii="Arial" w:hAnsi="Arial" w:cs="Arial"/>
                <w:b/>
                <w:sz w:val="18"/>
                <w:szCs w:val="18"/>
                <w:lang w:val="el-GR"/>
              </w:rPr>
              <w:t>€</w:t>
            </w:r>
            <w:r w:rsidRPr="007763C7">
              <w:rPr>
                <w:rFonts w:ascii="Arial" w:hAnsi="Arial" w:cs="Arial"/>
                <w:b/>
                <w:sz w:val="18"/>
                <w:szCs w:val="18"/>
              </w:rPr>
              <w:t>)</w:t>
            </w:r>
          </w:p>
        </w:tc>
        <w:tc>
          <w:tcPr>
            <w:tcW w:w="2078" w:type="dxa"/>
            <w:tcBorders>
              <w:top w:val="single" w:sz="2" w:space="0" w:color="BFBFBF" w:themeColor="background1" w:themeShade="BF"/>
              <w:left w:val="single" w:sz="2" w:space="0" w:color="808080" w:themeColor="background1" w:themeShade="80"/>
              <w:bottom w:val="single" w:sz="2" w:space="0" w:color="BFBFBF" w:themeColor="background1" w:themeShade="BF"/>
              <w:right w:val="nil"/>
            </w:tcBorders>
            <w:shd w:val="clear" w:color="auto" w:fill="F2F2F2" w:themeFill="background1" w:themeFillShade="F2"/>
            <w:vAlign w:val="center"/>
          </w:tcPr>
          <w:p w14:paraId="5D8CBBD8" w14:textId="26B1E47D" w:rsidR="00F12B97" w:rsidRPr="00F12B97" w:rsidRDefault="00F12B97" w:rsidP="009D729A">
            <w:pPr>
              <w:pStyle w:val="ColorfulList-Accent11"/>
              <w:tabs>
                <w:tab w:val="left" w:pos="0"/>
                <w:tab w:val="left" w:pos="284"/>
              </w:tabs>
              <w:ind w:left="0" w:right="-90"/>
              <w:jc w:val="center"/>
              <w:rPr>
                <w:rFonts w:ascii="Arial" w:hAnsi="Arial" w:cs="Arial"/>
                <w:i/>
                <w:color w:val="000000" w:themeColor="text1"/>
                <w:lang w:val="el-GR"/>
              </w:rPr>
            </w:pPr>
            <w:r w:rsidRPr="00CC5811">
              <w:rPr>
                <w:rFonts w:ascii="Arial" w:hAnsi="Arial" w:cs="Arial"/>
                <w:b/>
                <w:color w:val="000000" w:themeColor="text1"/>
              </w:rPr>
              <w:t>Q</w:t>
            </w:r>
            <w:r>
              <w:rPr>
                <w:rFonts w:ascii="Arial" w:hAnsi="Arial" w:cs="Arial"/>
                <w:b/>
                <w:color w:val="000000" w:themeColor="text1"/>
                <w:lang w:val="el-GR"/>
              </w:rPr>
              <w:t>1</w:t>
            </w:r>
            <w:r w:rsidRPr="00CC5811">
              <w:rPr>
                <w:rFonts w:ascii="Arial" w:hAnsi="Arial" w:cs="Arial"/>
                <w:b/>
                <w:color w:val="000000" w:themeColor="text1"/>
              </w:rPr>
              <w:t>'2</w:t>
            </w:r>
            <w:r>
              <w:rPr>
                <w:rFonts w:ascii="Arial" w:hAnsi="Arial" w:cs="Arial"/>
                <w:b/>
                <w:color w:val="000000" w:themeColor="text1"/>
                <w:lang w:val="el-GR"/>
              </w:rPr>
              <w:t>6</w:t>
            </w:r>
          </w:p>
        </w:tc>
        <w:tc>
          <w:tcPr>
            <w:tcW w:w="2016"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7B0F35EA" w14:textId="5E9AD534" w:rsidR="00F12B97" w:rsidRPr="00F12B97" w:rsidRDefault="00F12B97" w:rsidP="009D729A">
            <w:pPr>
              <w:pStyle w:val="ColorfulList-Accent11"/>
              <w:tabs>
                <w:tab w:val="left" w:pos="0"/>
                <w:tab w:val="left" w:pos="284"/>
              </w:tabs>
              <w:ind w:left="0" w:right="-90"/>
              <w:jc w:val="center"/>
              <w:rPr>
                <w:rFonts w:ascii="Arial" w:hAnsi="Arial" w:cs="Arial"/>
                <w:i/>
                <w:color w:val="000000" w:themeColor="text1"/>
                <w:lang w:val="el-GR"/>
              </w:rPr>
            </w:pPr>
            <w:r w:rsidRPr="00CC5811">
              <w:rPr>
                <w:rFonts w:ascii="Arial" w:hAnsi="Arial" w:cs="Arial"/>
                <w:b/>
                <w:color w:val="000000" w:themeColor="text1"/>
              </w:rPr>
              <w:t>Q</w:t>
            </w:r>
            <w:r>
              <w:rPr>
                <w:rFonts w:ascii="Arial" w:hAnsi="Arial" w:cs="Arial"/>
                <w:b/>
                <w:color w:val="000000" w:themeColor="text1"/>
                <w:lang w:val="el-GR"/>
              </w:rPr>
              <w:t>1</w:t>
            </w:r>
            <w:r w:rsidRPr="00CC5811">
              <w:rPr>
                <w:rFonts w:ascii="Arial" w:hAnsi="Arial" w:cs="Arial"/>
                <w:b/>
                <w:color w:val="000000" w:themeColor="text1"/>
              </w:rPr>
              <w:t>'2</w:t>
            </w:r>
            <w:r>
              <w:rPr>
                <w:rFonts w:ascii="Arial" w:hAnsi="Arial" w:cs="Arial"/>
                <w:b/>
                <w:color w:val="000000" w:themeColor="text1"/>
                <w:lang w:val="el-GR"/>
              </w:rPr>
              <w:t>5</w:t>
            </w:r>
          </w:p>
        </w:tc>
        <w:tc>
          <w:tcPr>
            <w:tcW w:w="1567"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11945A28" w14:textId="77777777" w:rsidR="00F12B97" w:rsidRPr="00CC5811" w:rsidRDefault="00F12B97"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r>
      <w:tr w:rsidR="005324C6" w:rsidRPr="002571F1" w14:paraId="7C8A5E8D" w14:textId="77777777" w:rsidTr="004017C3">
        <w:trPr>
          <w:trHeight w:val="289"/>
        </w:trPr>
        <w:tc>
          <w:tcPr>
            <w:tcW w:w="4978" w:type="dxa"/>
            <w:tcBorders>
              <w:top w:val="single" w:sz="2" w:space="0" w:color="BFBFBF" w:themeColor="background1" w:themeShade="BF"/>
              <w:bottom w:val="nil"/>
              <w:right w:val="single" w:sz="2" w:space="0" w:color="808080" w:themeColor="background1" w:themeShade="80"/>
            </w:tcBorders>
            <w:shd w:val="clear" w:color="auto" w:fill="FFFFFF" w:themeFill="background1"/>
            <w:vAlign w:val="center"/>
          </w:tcPr>
          <w:p w14:paraId="2B2ABCBF" w14:textId="74EFD8BA" w:rsidR="005324C6" w:rsidRPr="00CC5811" w:rsidRDefault="005324C6" w:rsidP="005324C6">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Κύκλος Εργασιών</w:t>
            </w:r>
          </w:p>
        </w:tc>
        <w:tc>
          <w:tcPr>
            <w:tcW w:w="2078" w:type="dxa"/>
            <w:tcBorders>
              <w:top w:val="single" w:sz="2" w:space="0" w:color="BFBFBF" w:themeColor="background1" w:themeShade="BF"/>
              <w:left w:val="single" w:sz="2" w:space="0" w:color="808080" w:themeColor="background1" w:themeShade="80"/>
              <w:bottom w:val="nil"/>
              <w:right w:val="nil"/>
            </w:tcBorders>
            <w:shd w:val="clear" w:color="auto" w:fill="FFFFFF" w:themeFill="background1"/>
            <w:vAlign w:val="center"/>
          </w:tcPr>
          <w:p w14:paraId="2197BF3C" w14:textId="56287517"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 xml:space="preserve">859,4 </w:t>
            </w:r>
          </w:p>
        </w:tc>
        <w:tc>
          <w:tcPr>
            <w:tcW w:w="2016" w:type="dxa"/>
            <w:tcBorders>
              <w:top w:val="single" w:sz="2" w:space="0" w:color="BFBFBF" w:themeColor="background1" w:themeShade="BF"/>
              <w:left w:val="nil"/>
              <w:bottom w:val="nil"/>
              <w:right w:val="nil"/>
            </w:tcBorders>
            <w:shd w:val="clear" w:color="auto" w:fill="FFFFFF" w:themeFill="background1"/>
            <w:vAlign w:val="center"/>
          </w:tcPr>
          <w:p w14:paraId="55901E16" w14:textId="2AFF623E"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 xml:space="preserve">818,9 </w:t>
            </w:r>
          </w:p>
        </w:tc>
        <w:tc>
          <w:tcPr>
            <w:tcW w:w="1567" w:type="dxa"/>
            <w:tcBorders>
              <w:top w:val="single" w:sz="2" w:space="0" w:color="BFBFBF" w:themeColor="background1" w:themeShade="BF"/>
              <w:left w:val="nil"/>
              <w:bottom w:val="nil"/>
              <w:right w:val="nil"/>
            </w:tcBorders>
            <w:shd w:val="clear" w:color="auto" w:fill="FFFFFF" w:themeFill="background1"/>
            <w:vAlign w:val="center"/>
          </w:tcPr>
          <w:p w14:paraId="14DF222A" w14:textId="248A47EB"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+4,9%</w:t>
            </w:r>
          </w:p>
        </w:tc>
      </w:tr>
      <w:tr w:rsidR="005324C6" w:rsidRPr="002571F1" w14:paraId="7DB871E0" w14:textId="77777777" w:rsidTr="004017C3">
        <w:trPr>
          <w:trHeight w:val="301"/>
        </w:trPr>
        <w:tc>
          <w:tcPr>
            <w:tcW w:w="4978" w:type="dxa"/>
            <w:tcBorders>
              <w:top w:val="nil"/>
              <w:bottom w:val="nil"/>
              <w:right w:val="single" w:sz="2" w:space="0" w:color="808080" w:themeColor="background1" w:themeShade="80"/>
            </w:tcBorders>
            <w:shd w:val="clear" w:color="auto" w:fill="F2F2F2" w:themeFill="background1" w:themeFillShade="F2"/>
            <w:vAlign w:val="center"/>
          </w:tcPr>
          <w:p w14:paraId="635A3750" w14:textId="10B8C8CA" w:rsidR="005324C6" w:rsidRPr="00CC5811" w:rsidRDefault="005324C6" w:rsidP="005324C6">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 xml:space="preserve">Προσαρμοσμένο EBITDA (AL) </w:t>
            </w:r>
          </w:p>
        </w:tc>
        <w:tc>
          <w:tcPr>
            <w:tcW w:w="2078" w:type="dxa"/>
            <w:tcBorders>
              <w:top w:val="nil"/>
              <w:left w:val="single" w:sz="2" w:space="0" w:color="808080" w:themeColor="background1" w:themeShade="80"/>
              <w:bottom w:val="nil"/>
              <w:right w:val="nil"/>
            </w:tcBorders>
            <w:shd w:val="clear" w:color="auto" w:fill="F2F2F2" w:themeFill="background1" w:themeFillShade="F2"/>
            <w:vAlign w:val="center"/>
          </w:tcPr>
          <w:p w14:paraId="1708EE14" w14:textId="5DC5F885"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 xml:space="preserve">338,4 </w:t>
            </w:r>
          </w:p>
        </w:tc>
        <w:tc>
          <w:tcPr>
            <w:tcW w:w="2016" w:type="dxa"/>
            <w:tcBorders>
              <w:top w:val="nil"/>
              <w:left w:val="nil"/>
              <w:bottom w:val="nil"/>
              <w:right w:val="nil"/>
            </w:tcBorders>
            <w:shd w:val="clear" w:color="auto" w:fill="F2F2F2" w:themeFill="background1" w:themeFillShade="F2"/>
            <w:vAlign w:val="center"/>
          </w:tcPr>
          <w:p w14:paraId="4CA22BF6" w14:textId="2812E396"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 xml:space="preserve">329,1 </w:t>
            </w:r>
          </w:p>
        </w:tc>
        <w:tc>
          <w:tcPr>
            <w:tcW w:w="1567" w:type="dxa"/>
            <w:tcBorders>
              <w:top w:val="nil"/>
              <w:left w:val="nil"/>
              <w:bottom w:val="nil"/>
              <w:right w:val="nil"/>
            </w:tcBorders>
            <w:shd w:val="clear" w:color="auto" w:fill="F2F2F2" w:themeFill="background1" w:themeFillShade="F2"/>
            <w:vAlign w:val="center"/>
          </w:tcPr>
          <w:p w14:paraId="047D6D23" w14:textId="7A67F255"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+2,8%</w:t>
            </w:r>
          </w:p>
        </w:tc>
      </w:tr>
      <w:tr w:rsidR="005324C6" w:rsidRPr="002571F1" w14:paraId="6EE6CD65" w14:textId="77777777" w:rsidTr="00F12B97">
        <w:trPr>
          <w:trHeight w:val="289"/>
        </w:trPr>
        <w:tc>
          <w:tcPr>
            <w:tcW w:w="4978" w:type="dxa"/>
            <w:tcBorders>
              <w:top w:val="nil"/>
              <w:bottom w:val="nil"/>
              <w:right w:val="nil"/>
            </w:tcBorders>
            <w:shd w:val="clear" w:color="auto" w:fill="FFFFFF" w:themeFill="background1"/>
            <w:vAlign w:val="center"/>
          </w:tcPr>
          <w:p w14:paraId="27F5A972" w14:textId="201780EE" w:rsidR="005324C6" w:rsidRPr="00CC5811" w:rsidRDefault="005324C6" w:rsidP="005324C6">
            <w:pPr>
              <w:pStyle w:val="ColorfulList-Accent11"/>
              <w:tabs>
                <w:tab w:val="left" w:pos="0"/>
                <w:tab w:val="left" w:pos="284"/>
              </w:tabs>
              <w:ind w:left="0" w:right="-90"/>
              <w:jc w:val="right"/>
              <w:rPr>
                <w:rFonts w:ascii="Arial" w:hAnsi="Arial" w:cs="Arial"/>
                <w:i/>
                <w:color w:val="000000" w:themeColor="text1"/>
              </w:rPr>
            </w:pPr>
            <w:r w:rsidRPr="003629D3">
              <w:rPr>
                <w:rFonts w:ascii="Arial" w:hAnsi="Arial" w:cs="Arial"/>
                <w:i/>
              </w:rPr>
              <w:t xml:space="preserve">Περιθώριο (%) </w:t>
            </w:r>
          </w:p>
        </w:tc>
        <w:tc>
          <w:tcPr>
            <w:tcW w:w="2078" w:type="dxa"/>
            <w:tcBorders>
              <w:top w:val="nil"/>
              <w:left w:val="nil"/>
              <w:bottom w:val="nil"/>
              <w:right w:val="nil"/>
            </w:tcBorders>
            <w:shd w:val="clear" w:color="auto" w:fill="FFFFFF" w:themeFill="background1"/>
            <w:vAlign w:val="center"/>
          </w:tcPr>
          <w:p w14:paraId="167232B0" w14:textId="2C8AE4B4"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39,4%</w:t>
            </w:r>
          </w:p>
        </w:tc>
        <w:tc>
          <w:tcPr>
            <w:tcW w:w="2016" w:type="dxa"/>
            <w:tcBorders>
              <w:top w:val="nil"/>
              <w:left w:val="nil"/>
              <w:bottom w:val="nil"/>
              <w:right w:val="nil"/>
            </w:tcBorders>
            <w:shd w:val="clear" w:color="auto" w:fill="FFFFFF" w:themeFill="background1"/>
            <w:vAlign w:val="center"/>
          </w:tcPr>
          <w:p w14:paraId="360F4D39" w14:textId="01D8B8C2"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Pr>
                <w:rFonts w:ascii="Arial" w:hAnsi="Arial" w:cs="Arial"/>
                <w:i/>
                <w:color w:val="000000"/>
              </w:rPr>
              <w:t>40,</w:t>
            </w:r>
            <w:r>
              <w:rPr>
                <w:rFonts w:ascii="Arial" w:hAnsi="Arial" w:cs="Arial"/>
                <w:i/>
                <w:iCs/>
                <w:color w:val="000000"/>
              </w:rPr>
              <w:t>2</w:t>
            </w:r>
            <w:r>
              <w:rPr>
                <w:rFonts w:ascii="Arial" w:hAnsi="Arial" w:cs="Arial"/>
                <w:i/>
                <w:color w:val="000000"/>
              </w:rPr>
              <w:t>%</w:t>
            </w:r>
          </w:p>
        </w:tc>
        <w:tc>
          <w:tcPr>
            <w:tcW w:w="1567" w:type="dxa"/>
            <w:tcBorders>
              <w:top w:val="nil"/>
              <w:left w:val="nil"/>
              <w:bottom w:val="nil"/>
              <w:right w:val="nil"/>
            </w:tcBorders>
            <w:shd w:val="clear" w:color="auto" w:fill="FFFFFF" w:themeFill="background1"/>
            <w:vAlign w:val="center"/>
          </w:tcPr>
          <w:p w14:paraId="041261E5" w14:textId="0B462679" w:rsidR="005324C6" w:rsidRPr="00245FE0" w:rsidRDefault="005324C6" w:rsidP="005324C6">
            <w:pPr>
              <w:pStyle w:val="ColorfulList-Accent11"/>
              <w:tabs>
                <w:tab w:val="left" w:pos="0"/>
                <w:tab w:val="left" w:pos="284"/>
              </w:tabs>
              <w:ind w:left="0" w:right="-90"/>
              <w:jc w:val="center"/>
              <w:rPr>
                <w:rFonts w:ascii="Arial" w:hAnsi="Arial" w:cs="Arial"/>
                <w:i/>
                <w:color w:val="FF0000"/>
                <w:lang w:val="el-GR"/>
              </w:rPr>
            </w:pPr>
            <w:r>
              <w:rPr>
                <w:rFonts w:ascii="Arial" w:hAnsi="Arial" w:cs="Arial"/>
                <w:i/>
                <w:iCs/>
                <w:color w:val="000000"/>
              </w:rPr>
              <w:t>-0,8</w:t>
            </w:r>
            <w:r>
              <w:rPr>
                <w:rFonts w:ascii="Arial" w:hAnsi="Arial" w:cs="Arial"/>
                <w:i/>
                <w:iCs/>
                <w:color w:val="000000"/>
                <w:lang w:val="el-GR"/>
              </w:rPr>
              <w:t xml:space="preserve"> μον</w:t>
            </w:r>
          </w:p>
        </w:tc>
      </w:tr>
      <w:tr w:rsidR="005324C6" w:rsidRPr="002571F1" w14:paraId="1E15C5A1" w14:textId="77777777" w:rsidTr="0038556B">
        <w:trPr>
          <w:trHeight w:val="289"/>
        </w:trPr>
        <w:tc>
          <w:tcPr>
            <w:tcW w:w="4978" w:type="dxa"/>
            <w:tcBorders>
              <w:top w:val="nil"/>
              <w:bottom w:val="nil"/>
              <w:right w:val="nil"/>
            </w:tcBorders>
            <w:shd w:val="clear" w:color="auto" w:fill="F2F2F2" w:themeFill="background1" w:themeFillShade="F2"/>
            <w:vAlign w:val="center"/>
          </w:tcPr>
          <w:p w14:paraId="7851963C" w14:textId="1B52854E" w:rsidR="005324C6" w:rsidRPr="00CC5811" w:rsidRDefault="005324C6" w:rsidP="005324C6">
            <w:pPr>
              <w:pStyle w:val="ColorfulList-Accent11"/>
              <w:tabs>
                <w:tab w:val="left" w:pos="0"/>
                <w:tab w:val="left" w:pos="284"/>
              </w:tabs>
              <w:ind w:left="0" w:right="-90"/>
              <w:rPr>
                <w:rFonts w:ascii="Arial" w:hAnsi="Arial" w:cs="Arial"/>
                <w:color w:val="000000" w:themeColor="text1"/>
              </w:rPr>
            </w:pPr>
            <w:r>
              <w:rPr>
                <w:rFonts w:ascii="Arial" w:hAnsi="Arial" w:cs="Arial"/>
              </w:rPr>
              <w:t>EBIT</w:t>
            </w:r>
          </w:p>
        </w:tc>
        <w:tc>
          <w:tcPr>
            <w:tcW w:w="2078" w:type="dxa"/>
            <w:tcBorders>
              <w:top w:val="nil"/>
              <w:left w:val="nil"/>
              <w:bottom w:val="nil"/>
              <w:right w:val="nil"/>
            </w:tcBorders>
            <w:shd w:val="clear" w:color="auto" w:fill="F2F2F2" w:themeFill="background1" w:themeFillShade="F2"/>
            <w:vAlign w:val="bottom"/>
          </w:tcPr>
          <w:p w14:paraId="6CFD7F72" w14:textId="2FF9B835" w:rsidR="005324C6" w:rsidRPr="00245FE0" w:rsidRDefault="005324C6" w:rsidP="005324C6">
            <w:pPr>
              <w:pStyle w:val="ColorfulList-Accent11"/>
              <w:tabs>
                <w:tab w:val="left" w:pos="0"/>
                <w:tab w:val="left" w:pos="284"/>
              </w:tabs>
              <w:ind w:left="0" w:right="-90"/>
              <w:jc w:val="center"/>
              <w:rPr>
                <w:rFonts w:ascii="Arial" w:hAnsi="Arial" w:cs="Arial"/>
                <w:color w:val="FF0000"/>
              </w:rPr>
            </w:pPr>
            <w:r>
              <w:rPr>
                <w:rFonts w:ascii="Arial" w:hAnsi="Arial" w:cs="Arial"/>
              </w:rPr>
              <w:t xml:space="preserve">188,9 </w:t>
            </w:r>
          </w:p>
        </w:tc>
        <w:tc>
          <w:tcPr>
            <w:tcW w:w="2016" w:type="dxa"/>
            <w:tcBorders>
              <w:top w:val="nil"/>
              <w:left w:val="nil"/>
              <w:bottom w:val="nil"/>
              <w:right w:val="nil"/>
            </w:tcBorders>
            <w:shd w:val="clear" w:color="auto" w:fill="F2F2F2" w:themeFill="background1" w:themeFillShade="F2"/>
            <w:vAlign w:val="bottom"/>
          </w:tcPr>
          <w:p w14:paraId="540F17CC" w14:textId="56846E95" w:rsidR="005324C6" w:rsidRPr="00245FE0" w:rsidRDefault="005324C6" w:rsidP="005324C6">
            <w:pPr>
              <w:pStyle w:val="ColorfulList-Accent11"/>
              <w:tabs>
                <w:tab w:val="left" w:pos="0"/>
                <w:tab w:val="left" w:pos="284"/>
              </w:tabs>
              <w:ind w:left="0" w:right="-90"/>
              <w:jc w:val="center"/>
              <w:rPr>
                <w:rFonts w:ascii="Arial" w:hAnsi="Arial" w:cs="Arial"/>
                <w:color w:val="FF0000"/>
              </w:rPr>
            </w:pPr>
            <w:r>
              <w:rPr>
                <w:rFonts w:ascii="Arial" w:hAnsi="Arial" w:cs="Arial"/>
              </w:rPr>
              <w:t xml:space="preserve">188,0 </w:t>
            </w:r>
          </w:p>
        </w:tc>
        <w:tc>
          <w:tcPr>
            <w:tcW w:w="1567" w:type="dxa"/>
            <w:tcBorders>
              <w:top w:val="nil"/>
              <w:left w:val="nil"/>
              <w:bottom w:val="nil"/>
              <w:right w:val="nil"/>
            </w:tcBorders>
            <w:shd w:val="clear" w:color="auto" w:fill="F2F2F2" w:themeFill="background1" w:themeFillShade="F2"/>
            <w:vAlign w:val="center"/>
          </w:tcPr>
          <w:p w14:paraId="6210CFCA" w14:textId="74873662" w:rsidR="005324C6" w:rsidRPr="00245FE0" w:rsidRDefault="005324C6" w:rsidP="005324C6">
            <w:pPr>
              <w:pStyle w:val="ColorfulList-Accent11"/>
              <w:tabs>
                <w:tab w:val="left" w:pos="0"/>
                <w:tab w:val="left" w:pos="284"/>
              </w:tabs>
              <w:ind w:left="0" w:right="-90"/>
              <w:jc w:val="center"/>
              <w:rPr>
                <w:rFonts w:ascii="Arial" w:hAnsi="Arial" w:cs="Arial"/>
                <w:color w:val="FF0000"/>
              </w:rPr>
            </w:pPr>
            <w:r>
              <w:rPr>
                <w:rFonts w:ascii="Arial" w:hAnsi="Arial" w:cs="Arial"/>
              </w:rPr>
              <w:t>+0,5%</w:t>
            </w:r>
          </w:p>
        </w:tc>
      </w:tr>
      <w:tr w:rsidR="005324C6" w:rsidRPr="002571F1" w14:paraId="41EF6550" w14:textId="77777777" w:rsidTr="004017C3">
        <w:trPr>
          <w:trHeight w:val="289"/>
        </w:trPr>
        <w:tc>
          <w:tcPr>
            <w:tcW w:w="4978" w:type="dxa"/>
            <w:tcBorders>
              <w:top w:val="nil"/>
              <w:bottom w:val="nil"/>
              <w:right w:val="single" w:sz="2" w:space="0" w:color="808080" w:themeColor="background1" w:themeShade="80"/>
            </w:tcBorders>
            <w:shd w:val="clear" w:color="auto" w:fill="FFFFFF" w:themeFill="background1"/>
            <w:vAlign w:val="center"/>
          </w:tcPr>
          <w:p w14:paraId="444B6EEE" w14:textId="2C7BE3D3" w:rsidR="005324C6" w:rsidRPr="00DB61A4" w:rsidRDefault="005324C6" w:rsidP="005324C6">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Κέρδη κατανεμημένα στους μετόχους της Εταιρείας</w:t>
            </w:r>
          </w:p>
        </w:tc>
        <w:tc>
          <w:tcPr>
            <w:tcW w:w="2078" w:type="dxa"/>
            <w:tcBorders>
              <w:top w:val="nil"/>
              <w:left w:val="single" w:sz="2" w:space="0" w:color="808080" w:themeColor="background1" w:themeShade="80"/>
              <w:bottom w:val="nil"/>
              <w:right w:val="nil"/>
            </w:tcBorders>
            <w:shd w:val="clear" w:color="auto" w:fill="FFFFFF" w:themeFill="background1"/>
            <w:vAlign w:val="bottom"/>
          </w:tcPr>
          <w:p w14:paraId="1CEB7834" w14:textId="2B35E9D8"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Pr>
                <w:rFonts w:ascii="Arial" w:hAnsi="Arial" w:cs="Arial"/>
              </w:rPr>
              <w:t xml:space="preserve">138,2 </w:t>
            </w:r>
          </w:p>
        </w:tc>
        <w:tc>
          <w:tcPr>
            <w:tcW w:w="2016" w:type="dxa"/>
            <w:tcBorders>
              <w:top w:val="nil"/>
              <w:left w:val="nil"/>
              <w:bottom w:val="nil"/>
              <w:right w:val="nil"/>
            </w:tcBorders>
            <w:shd w:val="clear" w:color="auto" w:fill="FFFFFF" w:themeFill="background1"/>
            <w:vAlign w:val="bottom"/>
          </w:tcPr>
          <w:p w14:paraId="106F3145" w14:textId="1B3CD66D"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Pr>
                <w:rFonts w:ascii="Arial" w:hAnsi="Arial" w:cs="Arial"/>
                <w:lang w:val="el-GR"/>
              </w:rPr>
              <w:t>151,8</w:t>
            </w:r>
            <w:r>
              <w:rPr>
                <w:rFonts w:ascii="Arial" w:hAnsi="Arial" w:cs="Arial"/>
              </w:rPr>
              <w:t xml:space="preserve"> </w:t>
            </w:r>
          </w:p>
        </w:tc>
        <w:tc>
          <w:tcPr>
            <w:tcW w:w="1567" w:type="dxa"/>
            <w:tcBorders>
              <w:top w:val="nil"/>
              <w:left w:val="nil"/>
              <w:bottom w:val="nil"/>
              <w:right w:val="nil"/>
            </w:tcBorders>
            <w:shd w:val="clear" w:color="auto" w:fill="FFFFFF" w:themeFill="background1"/>
            <w:vAlign w:val="center"/>
          </w:tcPr>
          <w:p w14:paraId="14C1D765" w14:textId="5ECC926A"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sidRPr="002312F9">
              <w:rPr>
                <w:rFonts w:ascii="Arial" w:hAnsi="Arial" w:cs="Arial"/>
              </w:rPr>
              <w:t>-9,0%</w:t>
            </w:r>
          </w:p>
        </w:tc>
      </w:tr>
      <w:tr w:rsidR="005324C6" w:rsidRPr="002571F1" w14:paraId="0DD6E122" w14:textId="77777777" w:rsidTr="004017C3">
        <w:trPr>
          <w:trHeight w:val="289"/>
        </w:trPr>
        <w:tc>
          <w:tcPr>
            <w:tcW w:w="4978" w:type="dxa"/>
            <w:tcBorders>
              <w:top w:val="nil"/>
              <w:bottom w:val="nil"/>
              <w:right w:val="single" w:sz="2" w:space="0" w:color="808080" w:themeColor="background1" w:themeShade="80"/>
            </w:tcBorders>
            <w:shd w:val="clear" w:color="auto" w:fill="F2F2F2" w:themeFill="background1" w:themeFillShade="F2"/>
            <w:vAlign w:val="center"/>
          </w:tcPr>
          <w:p w14:paraId="180E78C5" w14:textId="44B11555" w:rsidR="005324C6" w:rsidRPr="00DB61A4" w:rsidRDefault="005324C6" w:rsidP="005324C6">
            <w:pPr>
              <w:pStyle w:val="ColorfulList-Accent11"/>
              <w:tabs>
                <w:tab w:val="left" w:pos="0"/>
                <w:tab w:val="left" w:pos="284"/>
              </w:tabs>
              <w:ind w:left="0" w:right="-90"/>
              <w:jc w:val="right"/>
              <w:rPr>
                <w:rFonts w:ascii="Arial" w:hAnsi="Arial" w:cs="Arial"/>
                <w:color w:val="000000" w:themeColor="text1"/>
                <w:lang w:val="el-GR"/>
              </w:rPr>
            </w:pPr>
            <w:r w:rsidRPr="003629D3">
              <w:rPr>
                <w:rFonts w:ascii="Arial" w:hAnsi="Arial" w:cs="Arial"/>
                <w:i/>
              </w:rPr>
              <w:t>Βασικά Κέρδη ανά μετοχή (€)</w:t>
            </w:r>
          </w:p>
        </w:tc>
        <w:tc>
          <w:tcPr>
            <w:tcW w:w="2078" w:type="dxa"/>
            <w:tcBorders>
              <w:top w:val="nil"/>
              <w:left w:val="single" w:sz="2" w:space="0" w:color="808080" w:themeColor="background1" w:themeShade="80"/>
              <w:bottom w:val="nil"/>
              <w:right w:val="nil"/>
            </w:tcBorders>
            <w:shd w:val="clear" w:color="auto" w:fill="F2F2F2" w:themeFill="background1" w:themeFillShade="F2"/>
            <w:vAlign w:val="center"/>
          </w:tcPr>
          <w:p w14:paraId="7E3BD4B6" w14:textId="7FE6CDE4"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sidRPr="002475F0">
              <w:rPr>
                <w:rFonts w:ascii="Arial" w:hAnsi="Arial" w:cs="Arial"/>
                <w:i/>
                <w:lang w:eastAsia="el-GR"/>
              </w:rPr>
              <w:t>0</w:t>
            </w:r>
            <w:r>
              <w:rPr>
                <w:rFonts w:ascii="Arial" w:hAnsi="Arial" w:cs="Arial"/>
                <w:i/>
                <w:lang w:eastAsia="el-GR"/>
              </w:rPr>
              <w:t>,</w:t>
            </w:r>
            <w:r w:rsidRPr="002475F0">
              <w:rPr>
                <w:rFonts w:ascii="Arial" w:hAnsi="Arial" w:cs="Arial"/>
                <w:i/>
                <w:lang w:eastAsia="el-GR"/>
              </w:rPr>
              <w:t>3492</w:t>
            </w:r>
          </w:p>
        </w:tc>
        <w:tc>
          <w:tcPr>
            <w:tcW w:w="2016" w:type="dxa"/>
            <w:tcBorders>
              <w:top w:val="nil"/>
              <w:left w:val="nil"/>
              <w:bottom w:val="nil"/>
              <w:right w:val="nil"/>
            </w:tcBorders>
            <w:shd w:val="clear" w:color="auto" w:fill="F2F2F2" w:themeFill="background1" w:themeFillShade="F2"/>
            <w:vAlign w:val="center"/>
          </w:tcPr>
          <w:p w14:paraId="585C3E54" w14:textId="77B45759"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sidRPr="002475F0">
              <w:rPr>
                <w:rFonts w:ascii="Arial" w:hAnsi="Arial" w:cs="Arial"/>
                <w:i/>
                <w:lang w:eastAsia="el-GR"/>
              </w:rPr>
              <w:t>0</w:t>
            </w:r>
            <w:r>
              <w:rPr>
                <w:rFonts w:ascii="Arial" w:hAnsi="Arial" w:cs="Arial"/>
                <w:i/>
                <w:lang w:val="el-GR" w:eastAsia="el-GR"/>
              </w:rPr>
              <w:t>,</w:t>
            </w:r>
            <w:r w:rsidRPr="002475F0">
              <w:rPr>
                <w:rFonts w:ascii="Arial" w:hAnsi="Arial" w:cs="Arial"/>
                <w:i/>
                <w:lang w:eastAsia="el-GR"/>
              </w:rPr>
              <w:t>3</w:t>
            </w:r>
            <w:r>
              <w:rPr>
                <w:rFonts w:ascii="Arial" w:hAnsi="Arial" w:cs="Arial"/>
                <w:i/>
                <w:lang w:eastAsia="el-GR"/>
              </w:rPr>
              <w:t>745</w:t>
            </w:r>
          </w:p>
        </w:tc>
        <w:tc>
          <w:tcPr>
            <w:tcW w:w="1567" w:type="dxa"/>
            <w:tcBorders>
              <w:top w:val="nil"/>
              <w:left w:val="nil"/>
              <w:bottom w:val="nil"/>
              <w:right w:val="nil"/>
            </w:tcBorders>
            <w:shd w:val="clear" w:color="auto" w:fill="F2F2F2" w:themeFill="background1" w:themeFillShade="F2"/>
            <w:vAlign w:val="center"/>
          </w:tcPr>
          <w:p w14:paraId="65D0123A" w14:textId="170A8CEF" w:rsidR="005324C6" w:rsidRPr="00245FE0" w:rsidRDefault="005324C6" w:rsidP="005324C6">
            <w:pPr>
              <w:pStyle w:val="ColorfulList-Accent11"/>
              <w:tabs>
                <w:tab w:val="left" w:pos="0"/>
                <w:tab w:val="left" w:pos="284"/>
              </w:tabs>
              <w:ind w:left="0" w:right="-90"/>
              <w:jc w:val="center"/>
              <w:rPr>
                <w:rFonts w:ascii="Arial" w:hAnsi="Arial" w:cs="Arial"/>
                <w:color w:val="FF0000"/>
                <w:highlight w:val="yellow"/>
                <w:lang w:val="el-GR"/>
              </w:rPr>
            </w:pPr>
            <w:r w:rsidRPr="002475F0">
              <w:rPr>
                <w:rFonts w:ascii="Arial" w:hAnsi="Arial" w:cs="Arial"/>
                <w:i/>
                <w:lang w:eastAsia="el-GR"/>
              </w:rPr>
              <w:t>-</w:t>
            </w:r>
            <w:r>
              <w:rPr>
                <w:rFonts w:ascii="Arial" w:hAnsi="Arial" w:cs="Arial"/>
                <w:i/>
                <w:lang w:eastAsia="el-GR"/>
              </w:rPr>
              <w:t>6</w:t>
            </w:r>
            <w:r>
              <w:rPr>
                <w:rFonts w:ascii="Arial" w:hAnsi="Arial" w:cs="Arial"/>
                <w:i/>
                <w:lang w:val="el-GR" w:eastAsia="el-GR"/>
              </w:rPr>
              <w:t>,</w:t>
            </w:r>
            <w:r>
              <w:rPr>
                <w:rFonts w:ascii="Arial" w:hAnsi="Arial" w:cs="Arial"/>
                <w:i/>
                <w:lang w:eastAsia="el-GR"/>
              </w:rPr>
              <w:t>8</w:t>
            </w:r>
            <w:r w:rsidRPr="002475F0">
              <w:rPr>
                <w:rFonts w:ascii="Arial" w:hAnsi="Arial" w:cs="Arial"/>
                <w:i/>
                <w:lang w:eastAsia="el-GR"/>
              </w:rPr>
              <w:t>%</w:t>
            </w:r>
          </w:p>
        </w:tc>
      </w:tr>
      <w:tr w:rsidR="005324C6" w:rsidRPr="002571F1" w14:paraId="235618EF" w14:textId="77777777" w:rsidTr="004017C3">
        <w:trPr>
          <w:trHeight w:val="301"/>
        </w:trPr>
        <w:tc>
          <w:tcPr>
            <w:tcW w:w="4978" w:type="dxa"/>
            <w:tcBorders>
              <w:top w:val="nil"/>
              <w:bottom w:val="nil"/>
              <w:right w:val="single" w:sz="2" w:space="0" w:color="808080" w:themeColor="background1" w:themeShade="80"/>
            </w:tcBorders>
            <w:shd w:val="clear" w:color="auto" w:fill="FFFFFF" w:themeFill="background1"/>
            <w:vAlign w:val="center"/>
          </w:tcPr>
          <w:p w14:paraId="07877E57" w14:textId="67EF3EB5" w:rsidR="005324C6" w:rsidRPr="00927497" w:rsidRDefault="005324C6" w:rsidP="005324C6">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Προσαρμοσμένα Κέρδη κατανεμημένα στους μετόχους της Εταιρείας</w:t>
            </w:r>
          </w:p>
        </w:tc>
        <w:tc>
          <w:tcPr>
            <w:tcW w:w="2078" w:type="dxa"/>
            <w:tcBorders>
              <w:top w:val="nil"/>
              <w:left w:val="single" w:sz="2" w:space="0" w:color="808080" w:themeColor="background1" w:themeShade="80"/>
              <w:bottom w:val="nil"/>
              <w:right w:val="nil"/>
            </w:tcBorders>
            <w:shd w:val="clear" w:color="auto" w:fill="FFFFFF" w:themeFill="background1"/>
            <w:vAlign w:val="center"/>
          </w:tcPr>
          <w:p w14:paraId="740690CA" w14:textId="7C6B8215" w:rsidR="005324C6" w:rsidRPr="00245FE0" w:rsidRDefault="005324C6" w:rsidP="005324C6">
            <w:pPr>
              <w:pStyle w:val="ColorfulList-Accent11"/>
              <w:tabs>
                <w:tab w:val="left" w:pos="0"/>
                <w:tab w:val="left" w:pos="284"/>
              </w:tabs>
              <w:ind w:left="0" w:right="-90"/>
              <w:jc w:val="center"/>
              <w:rPr>
                <w:rFonts w:ascii="Arial" w:hAnsi="Arial" w:cs="Arial"/>
                <w:i/>
                <w:color w:val="FF0000"/>
                <w:lang w:val="el-GR"/>
              </w:rPr>
            </w:pPr>
            <w:r w:rsidRPr="00D43D69">
              <w:rPr>
                <w:rFonts w:ascii="Arial" w:hAnsi="Arial" w:cs="Arial"/>
              </w:rPr>
              <w:t>153</w:t>
            </w:r>
            <w:r>
              <w:rPr>
                <w:rFonts w:ascii="Arial" w:hAnsi="Arial" w:cs="Arial"/>
              </w:rPr>
              <w:t>,</w:t>
            </w:r>
            <w:r w:rsidRPr="00D43D69">
              <w:rPr>
                <w:rFonts w:ascii="Arial" w:hAnsi="Arial" w:cs="Arial"/>
              </w:rPr>
              <w:t>6</w:t>
            </w:r>
          </w:p>
        </w:tc>
        <w:tc>
          <w:tcPr>
            <w:tcW w:w="2016" w:type="dxa"/>
            <w:tcBorders>
              <w:top w:val="nil"/>
              <w:left w:val="nil"/>
              <w:bottom w:val="nil"/>
              <w:right w:val="nil"/>
            </w:tcBorders>
            <w:shd w:val="clear" w:color="auto" w:fill="FFFFFF" w:themeFill="background1"/>
            <w:vAlign w:val="center"/>
          </w:tcPr>
          <w:p w14:paraId="3AED96A2" w14:textId="5F78D34B" w:rsidR="005324C6" w:rsidRPr="00245FE0" w:rsidRDefault="005324C6" w:rsidP="005324C6">
            <w:pPr>
              <w:pStyle w:val="ColorfulList-Accent11"/>
              <w:tabs>
                <w:tab w:val="left" w:pos="0"/>
                <w:tab w:val="left" w:pos="284"/>
              </w:tabs>
              <w:ind w:left="0" w:right="-90"/>
              <w:jc w:val="center"/>
              <w:rPr>
                <w:rFonts w:ascii="Arial" w:hAnsi="Arial" w:cs="Arial"/>
                <w:i/>
                <w:color w:val="FF0000"/>
                <w:lang w:val="el-GR"/>
              </w:rPr>
            </w:pPr>
            <w:r w:rsidRPr="00D43D69">
              <w:rPr>
                <w:rFonts w:ascii="Arial" w:hAnsi="Arial" w:cs="Arial"/>
              </w:rPr>
              <w:t>162</w:t>
            </w:r>
            <w:r>
              <w:rPr>
                <w:rFonts w:ascii="Arial" w:hAnsi="Arial" w:cs="Arial"/>
              </w:rPr>
              <w:t>,</w:t>
            </w:r>
            <w:r w:rsidRPr="00D43D69">
              <w:rPr>
                <w:rFonts w:ascii="Arial" w:hAnsi="Arial" w:cs="Arial"/>
              </w:rPr>
              <w:t>3</w:t>
            </w:r>
          </w:p>
        </w:tc>
        <w:tc>
          <w:tcPr>
            <w:tcW w:w="1567" w:type="dxa"/>
            <w:tcBorders>
              <w:top w:val="nil"/>
              <w:left w:val="nil"/>
              <w:bottom w:val="nil"/>
              <w:right w:val="nil"/>
            </w:tcBorders>
            <w:shd w:val="clear" w:color="auto" w:fill="FFFFFF" w:themeFill="background1"/>
            <w:vAlign w:val="center"/>
          </w:tcPr>
          <w:p w14:paraId="47B8AB6E" w14:textId="1C8607AD"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sidRPr="00D43D69">
              <w:rPr>
                <w:rFonts w:ascii="Arial" w:hAnsi="Arial" w:cs="Arial"/>
              </w:rPr>
              <w:t>-5</w:t>
            </w:r>
            <w:r>
              <w:rPr>
                <w:rFonts w:ascii="Arial" w:hAnsi="Arial" w:cs="Arial"/>
              </w:rPr>
              <w:t>,</w:t>
            </w:r>
            <w:r w:rsidRPr="00D43D69">
              <w:rPr>
                <w:rFonts w:ascii="Arial" w:hAnsi="Arial" w:cs="Arial"/>
              </w:rPr>
              <w:t>4%</w:t>
            </w:r>
          </w:p>
        </w:tc>
      </w:tr>
      <w:tr w:rsidR="005324C6" w:rsidRPr="002571F1" w14:paraId="4BFD0ABA" w14:textId="77777777" w:rsidTr="004017C3">
        <w:trPr>
          <w:trHeight w:val="289"/>
        </w:trPr>
        <w:tc>
          <w:tcPr>
            <w:tcW w:w="4978" w:type="dxa"/>
            <w:tcBorders>
              <w:top w:val="nil"/>
              <w:bottom w:val="nil"/>
              <w:right w:val="single" w:sz="2" w:space="0" w:color="808080" w:themeColor="background1" w:themeShade="80"/>
            </w:tcBorders>
            <w:shd w:val="clear" w:color="auto" w:fill="F2F2F2" w:themeFill="background1" w:themeFillShade="F2"/>
            <w:vAlign w:val="center"/>
          </w:tcPr>
          <w:p w14:paraId="390748F7" w14:textId="00A1B003" w:rsidR="005324C6" w:rsidRPr="00DB61A4" w:rsidRDefault="005324C6" w:rsidP="005324C6">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Επενδύσεις σε πάγια περιουσιακά στοιχεία</w:t>
            </w:r>
          </w:p>
        </w:tc>
        <w:tc>
          <w:tcPr>
            <w:tcW w:w="2078" w:type="dxa"/>
            <w:tcBorders>
              <w:top w:val="nil"/>
              <w:left w:val="single" w:sz="2" w:space="0" w:color="808080" w:themeColor="background1" w:themeShade="80"/>
              <w:bottom w:val="nil"/>
              <w:right w:val="nil"/>
            </w:tcBorders>
            <w:shd w:val="clear" w:color="auto" w:fill="F2F2F2" w:themeFill="background1" w:themeFillShade="F2"/>
            <w:vAlign w:val="center"/>
          </w:tcPr>
          <w:p w14:paraId="6786F1C9" w14:textId="471C6BBE" w:rsidR="005324C6" w:rsidRPr="00245FE0" w:rsidRDefault="005324C6" w:rsidP="005324C6">
            <w:pPr>
              <w:pStyle w:val="ColorfulList-Accent11"/>
              <w:tabs>
                <w:tab w:val="left" w:pos="0"/>
                <w:tab w:val="left" w:pos="284"/>
              </w:tabs>
              <w:ind w:left="0" w:right="-90"/>
              <w:jc w:val="center"/>
              <w:rPr>
                <w:rFonts w:ascii="Arial" w:hAnsi="Arial" w:cs="Arial"/>
                <w:color w:val="FF0000"/>
                <w:lang w:val="el-GR"/>
              </w:rPr>
            </w:pPr>
            <w:r w:rsidRPr="0064754F">
              <w:rPr>
                <w:rFonts w:ascii="Arial" w:hAnsi="Arial" w:cs="Arial"/>
              </w:rPr>
              <w:t>108</w:t>
            </w:r>
            <w:r>
              <w:rPr>
                <w:rFonts w:ascii="Arial" w:hAnsi="Arial" w:cs="Arial"/>
              </w:rPr>
              <w:t>,</w:t>
            </w:r>
            <w:r w:rsidRPr="0064754F">
              <w:rPr>
                <w:rFonts w:ascii="Arial" w:hAnsi="Arial" w:cs="Arial"/>
              </w:rPr>
              <w:t xml:space="preserve">5 </w:t>
            </w:r>
          </w:p>
        </w:tc>
        <w:tc>
          <w:tcPr>
            <w:tcW w:w="2016" w:type="dxa"/>
            <w:tcBorders>
              <w:top w:val="nil"/>
              <w:left w:val="nil"/>
              <w:bottom w:val="nil"/>
              <w:right w:val="nil"/>
            </w:tcBorders>
            <w:shd w:val="clear" w:color="auto" w:fill="F2F2F2" w:themeFill="background1" w:themeFillShade="F2"/>
            <w:vAlign w:val="center"/>
          </w:tcPr>
          <w:p w14:paraId="3EF6A5DA" w14:textId="436BFD46" w:rsidR="005324C6" w:rsidRPr="00245FE0" w:rsidRDefault="005324C6" w:rsidP="005324C6">
            <w:pPr>
              <w:pStyle w:val="ColorfulList-Accent11"/>
              <w:tabs>
                <w:tab w:val="left" w:pos="0"/>
                <w:tab w:val="left" w:pos="284"/>
              </w:tabs>
              <w:ind w:left="0" w:right="-90"/>
              <w:jc w:val="center"/>
              <w:rPr>
                <w:rFonts w:ascii="Arial" w:hAnsi="Arial" w:cs="Arial"/>
                <w:color w:val="FF0000"/>
                <w:lang w:val="el-GR"/>
              </w:rPr>
            </w:pPr>
            <w:r w:rsidRPr="0064754F">
              <w:rPr>
                <w:rFonts w:ascii="Arial" w:hAnsi="Arial" w:cs="Arial"/>
              </w:rPr>
              <w:t>117</w:t>
            </w:r>
            <w:r>
              <w:rPr>
                <w:rFonts w:ascii="Arial" w:hAnsi="Arial" w:cs="Arial"/>
              </w:rPr>
              <w:t>,</w:t>
            </w:r>
            <w:r w:rsidRPr="0064754F">
              <w:rPr>
                <w:rFonts w:ascii="Arial" w:hAnsi="Arial" w:cs="Arial"/>
              </w:rPr>
              <w:t xml:space="preserve">4 </w:t>
            </w:r>
          </w:p>
        </w:tc>
        <w:tc>
          <w:tcPr>
            <w:tcW w:w="1567" w:type="dxa"/>
            <w:tcBorders>
              <w:top w:val="nil"/>
              <w:left w:val="nil"/>
              <w:bottom w:val="nil"/>
              <w:right w:val="nil"/>
            </w:tcBorders>
            <w:shd w:val="clear" w:color="auto" w:fill="F2F2F2" w:themeFill="background1" w:themeFillShade="F2"/>
            <w:vAlign w:val="center"/>
          </w:tcPr>
          <w:p w14:paraId="17458360" w14:textId="54289E98" w:rsidR="005324C6" w:rsidRPr="00245FE0" w:rsidRDefault="005324C6" w:rsidP="005324C6">
            <w:pPr>
              <w:pStyle w:val="ColorfulList-Accent11"/>
              <w:tabs>
                <w:tab w:val="left" w:pos="0"/>
                <w:tab w:val="left" w:pos="284"/>
              </w:tabs>
              <w:ind w:left="0" w:right="-90"/>
              <w:jc w:val="center"/>
              <w:rPr>
                <w:rFonts w:ascii="Arial" w:hAnsi="Arial" w:cs="Arial"/>
                <w:i/>
                <w:color w:val="FF0000"/>
                <w:lang w:val="el-GR"/>
              </w:rPr>
            </w:pPr>
            <w:r>
              <w:rPr>
                <w:rFonts w:ascii="Arial" w:hAnsi="Arial" w:cs="Arial"/>
              </w:rPr>
              <w:t>-7,6</w:t>
            </w:r>
            <w:r w:rsidRPr="0064754F">
              <w:rPr>
                <w:rFonts w:ascii="Arial" w:hAnsi="Arial" w:cs="Arial"/>
              </w:rPr>
              <w:t>%</w:t>
            </w:r>
          </w:p>
        </w:tc>
      </w:tr>
      <w:tr w:rsidR="005324C6" w:rsidRPr="002571F1" w14:paraId="78DE3E72" w14:textId="77777777" w:rsidTr="004017C3">
        <w:trPr>
          <w:trHeight w:val="289"/>
        </w:trPr>
        <w:tc>
          <w:tcPr>
            <w:tcW w:w="4978" w:type="dxa"/>
            <w:tcBorders>
              <w:top w:val="nil"/>
              <w:bottom w:val="nil"/>
              <w:right w:val="single" w:sz="2" w:space="0" w:color="808080" w:themeColor="background1" w:themeShade="80"/>
            </w:tcBorders>
            <w:shd w:val="clear" w:color="auto" w:fill="FFFFFF" w:themeFill="background1"/>
            <w:vAlign w:val="center"/>
          </w:tcPr>
          <w:p w14:paraId="45915CAF" w14:textId="0E2624BC" w:rsidR="005324C6" w:rsidRPr="00CC5811" w:rsidRDefault="005324C6" w:rsidP="005324C6">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 xml:space="preserve">Ελεύθερες Ταμειακές Ροές (AL) </w:t>
            </w:r>
          </w:p>
        </w:tc>
        <w:tc>
          <w:tcPr>
            <w:tcW w:w="2078" w:type="dxa"/>
            <w:tcBorders>
              <w:top w:val="nil"/>
              <w:left w:val="single" w:sz="2" w:space="0" w:color="808080" w:themeColor="background1" w:themeShade="80"/>
              <w:bottom w:val="nil"/>
              <w:right w:val="nil"/>
            </w:tcBorders>
            <w:shd w:val="clear" w:color="auto" w:fill="FFFFFF" w:themeFill="background1"/>
            <w:vAlign w:val="center"/>
          </w:tcPr>
          <w:p w14:paraId="749D7A9D" w14:textId="344272AE" w:rsidR="005324C6" w:rsidRPr="00245FE0" w:rsidRDefault="005324C6" w:rsidP="005324C6">
            <w:pPr>
              <w:pStyle w:val="ColorfulList-Accent11"/>
              <w:tabs>
                <w:tab w:val="left" w:pos="0"/>
                <w:tab w:val="left" w:pos="284"/>
              </w:tabs>
              <w:ind w:left="0" w:right="-90"/>
              <w:jc w:val="center"/>
              <w:rPr>
                <w:rFonts w:ascii="Arial" w:hAnsi="Arial" w:cs="Arial"/>
                <w:color w:val="FF0000"/>
              </w:rPr>
            </w:pPr>
            <w:r w:rsidRPr="00D94983">
              <w:rPr>
                <w:rFonts w:ascii="Arial" w:hAnsi="Arial" w:cs="Arial"/>
              </w:rPr>
              <w:t>60</w:t>
            </w:r>
            <w:r>
              <w:rPr>
                <w:rFonts w:ascii="Arial" w:hAnsi="Arial" w:cs="Arial"/>
              </w:rPr>
              <w:t>,</w:t>
            </w:r>
            <w:r w:rsidRPr="00D94983">
              <w:rPr>
                <w:rFonts w:ascii="Arial" w:hAnsi="Arial" w:cs="Arial"/>
              </w:rPr>
              <w:t xml:space="preserve">4 </w:t>
            </w:r>
          </w:p>
        </w:tc>
        <w:tc>
          <w:tcPr>
            <w:tcW w:w="2016" w:type="dxa"/>
            <w:tcBorders>
              <w:top w:val="nil"/>
              <w:left w:val="nil"/>
              <w:bottom w:val="nil"/>
              <w:right w:val="nil"/>
            </w:tcBorders>
            <w:shd w:val="clear" w:color="auto" w:fill="FFFFFF" w:themeFill="background1"/>
            <w:vAlign w:val="center"/>
          </w:tcPr>
          <w:p w14:paraId="5875DF75" w14:textId="648DF5B1" w:rsidR="005324C6" w:rsidRPr="00245FE0" w:rsidRDefault="005324C6" w:rsidP="005324C6">
            <w:pPr>
              <w:pStyle w:val="ColorfulList-Accent11"/>
              <w:tabs>
                <w:tab w:val="left" w:pos="0"/>
                <w:tab w:val="left" w:pos="284"/>
              </w:tabs>
              <w:ind w:left="0" w:right="-90"/>
              <w:jc w:val="center"/>
              <w:rPr>
                <w:rFonts w:ascii="Arial" w:hAnsi="Arial" w:cs="Arial"/>
                <w:color w:val="FF0000"/>
              </w:rPr>
            </w:pPr>
            <w:r w:rsidRPr="00D94983">
              <w:rPr>
                <w:rFonts w:ascii="Arial" w:hAnsi="Arial" w:cs="Arial"/>
              </w:rPr>
              <w:t>106</w:t>
            </w:r>
            <w:r>
              <w:rPr>
                <w:rFonts w:ascii="Arial" w:hAnsi="Arial" w:cs="Arial"/>
              </w:rPr>
              <w:t>,</w:t>
            </w:r>
            <w:r w:rsidRPr="00D94983">
              <w:rPr>
                <w:rFonts w:ascii="Arial" w:hAnsi="Arial" w:cs="Arial"/>
              </w:rPr>
              <w:t xml:space="preserve">2 </w:t>
            </w:r>
          </w:p>
        </w:tc>
        <w:tc>
          <w:tcPr>
            <w:tcW w:w="1567" w:type="dxa"/>
            <w:tcBorders>
              <w:top w:val="nil"/>
              <w:left w:val="nil"/>
              <w:bottom w:val="nil"/>
              <w:right w:val="nil"/>
            </w:tcBorders>
            <w:shd w:val="clear" w:color="auto" w:fill="FFFFFF" w:themeFill="background1"/>
            <w:vAlign w:val="center"/>
          </w:tcPr>
          <w:p w14:paraId="3D0A6040" w14:textId="625475EE" w:rsidR="005324C6" w:rsidRPr="00245FE0" w:rsidRDefault="005324C6" w:rsidP="005324C6">
            <w:pPr>
              <w:pStyle w:val="ColorfulList-Accent11"/>
              <w:tabs>
                <w:tab w:val="left" w:pos="0"/>
                <w:tab w:val="left" w:pos="284"/>
              </w:tabs>
              <w:ind w:left="0" w:right="-90"/>
              <w:jc w:val="center"/>
              <w:rPr>
                <w:rFonts w:ascii="Arial" w:hAnsi="Arial" w:cs="Arial"/>
                <w:color w:val="FF0000"/>
              </w:rPr>
            </w:pPr>
            <w:r w:rsidRPr="00D94983">
              <w:rPr>
                <w:rFonts w:ascii="Arial" w:hAnsi="Arial" w:cs="Arial"/>
              </w:rPr>
              <w:t>-</w:t>
            </w:r>
            <w:r>
              <w:rPr>
                <w:rFonts w:ascii="Arial" w:hAnsi="Arial" w:cs="Arial"/>
              </w:rPr>
              <w:t xml:space="preserve"> </w:t>
            </w:r>
            <w:r w:rsidRPr="00D94983">
              <w:rPr>
                <w:rFonts w:ascii="Arial" w:hAnsi="Arial" w:cs="Arial"/>
              </w:rPr>
              <w:t>43</w:t>
            </w:r>
            <w:r>
              <w:rPr>
                <w:rFonts w:ascii="Arial" w:hAnsi="Arial" w:cs="Arial"/>
              </w:rPr>
              <w:t>,</w:t>
            </w:r>
            <w:r w:rsidRPr="00D94983">
              <w:rPr>
                <w:rFonts w:ascii="Arial" w:hAnsi="Arial" w:cs="Arial"/>
              </w:rPr>
              <w:t>1%</w:t>
            </w:r>
          </w:p>
        </w:tc>
      </w:tr>
      <w:tr w:rsidR="005324C6" w:rsidRPr="002571F1" w14:paraId="66797C4D" w14:textId="77777777" w:rsidTr="004017C3">
        <w:trPr>
          <w:trHeight w:val="301"/>
        </w:trPr>
        <w:tc>
          <w:tcPr>
            <w:tcW w:w="4978" w:type="dxa"/>
            <w:tcBorders>
              <w:top w:val="nil"/>
              <w:bottom w:val="nil"/>
              <w:right w:val="single" w:sz="2" w:space="0" w:color="808080" w:themeColor="background1" w:themeShade="80"/>
            </w:tcBorders>
            <w:shd w:val="clear" w:color="auto" w:fill="F2F2F2" w:themeFill="background1" w:themeFillShade="F2"/>
            <w:vAlign w:val="center"/>
          </w:tcPr>
          <w:p w14:paraId="010EA1EA" w14:textId="7EE25FD7" w:rsidR="005324C6" w:rsidRPr="00DB61A4" w:rsidRDefault="005324C6" w:rsidP="005324C6">
            <w:pPr>
              <w:pStyle w:val="ColorfulList-Accent11"/>
              <w:tabs>
                <w:tab w:val="left" w:pos="0"/>
                <w:tab w:val="left" w:pos="284"/>
              </w:tabs>
              <w:ind w:left="0" w:right="-90"/>
              <w:rPr>
                <w:rFonts w:ascii="Arial" w:hAnsi="Arial" w:cs="Arial"/>
                <w:color w:val="000000" w:themeColor="text1"/>
                <w:lang w:val="el-GR"/>
              </w:rPr>
            </w:pPr>
            <w:r w:rsidRPr="00800FD4">
              <w:rPr>
                <w:rFonts w:ascii="Arial" w:hAnsi="Arial" w:cs="Arial"/>
              </w:rPr>
              <w:t>Ταμειακά Διαθέσιμα &amp;Ταμειακά Ισοδύναμα</w:t>
            </w:r>
            <w:r w:rsidRPr="00800FD4" w:rsidDel="00FA3E72">
              <w:rPr>
                <w:rFonts w:ascii="Arial" w:hAnsi="Arial" w:cs="Arial"/>
              </w:rPr>
              <w:t xml:space="preserve"> </w:t>
            </w:r>
          </w:p>
        </w:tc>
        <w:tc>
          <w:tcPr>
            <w:tcW w:w="2078" w:type="dxa"/>
            <w:tcBorders>
              <w:top w:val="nil"/>
              <w:left w:val="single" w:sz="2" w:space="0" w:color="808080" w:themeColor="background1" w:themeShade="80"/>
              <w:bottom w:val="nil"/>
              <w:right w:val="nil"/>
            </w:tcBorders>
            <w:shd w:val="clear" w:color="auto" w:fill="F2F2F2" w:themeFill="background1" w:themeFillShade="F2"/>
            <w:vAlign w:val="center"/>
          </w:tcPr>
          <w:p w14:paraId="29664349" w14:textId="0CB0023B" w:rsidR="005324C6" w:rsidRPr="00245FE0" w:rsidRDefault="005324C6" w:rsidP="005324C6">
            <w:pPr>
              <w:pStyle w:val="ColorfulList-Accent11"/>
              <w:tabs>
                <w:tab w:val="left" w:pos="0"/>
                <w:tab w:val="left" w:pos="284"/>
              </w:tabs>
              <w:ind w:left="0" w:right="-90"/>
              <w:jc w:val="center"/>
              <w:rPr>
                <w:rFonts w:ascii="Arial" w:hAnsi="Arial" w:cs="Arial"/>
                <w:color w:val="FF0000"/>
                <w:lang w:val="el-GR"/>
              </w:rPr>
            </w:pPr>
            <w:r w:rsidRPr="00347D77">
              <w:rPr>
                <w:rFonts w:ascii="Arial" w:hAnsi="Arial" w:cs="Arial"/>
              </w:rPr>
              <w:t>551</w:t>
            </w:r>
            <w:r>
              <w:rPr>
                <w:rFonts w:ascii="Arial" w:hAnsi="Arial" w:cs="Arial"/>
              </w:rPr>
              <w:t>,</w:t>
            </w:r>
            <w:r w:rsidRPr="00347D77">
              <w:rPr>
                <w:rFonts w:ascii="Arial" w:hAnsi="Arial" w:cs="Arial"/>
              </w:rPr>
              <w:t>0</w:t>
            </w:r>
          </w:p>
        </w:tc>
        <w:tc>
          <w:tcPr>
            <w:tcW w:w="2016" w:type="dxa"/>
            <w:tcBorders>
              <w:top w:val="nil"/>
              <w:left w:val="nil"/>
              <w:bottom w:val="nil"/>
              <w:right w:val="nil"/>
            </w:tcBorders>
            <w:shd w:val="clear" w:color="auto" w:fill="F2F2F2" w:themeFill="background1" w:themeFillShade="F2"/>
            <w:vAlign w:val="center"/>
          </w:tcPr>
          <w:p w14:paraId="5330009D" w14:textId="08C0409D" w:rsidR="005324C6" w:rsidRPr="00245FE0" w:rsidRDefault="005324C6" w:rsidP="005324C6">
            <w:pPr>
              <w:pStyle w:val="ColorfulList-Accent11"/>
              <w:tabs>
                <w:tab w:val="left" w:pos="0"/>
                <w:tab w:val="left" w:pos="284"/>
              </w:tabs>
              <w:ind w:left="0" w:right="-90"/>
              <w:jc w:val="center"/>
              <w:rPr>
                <w:rFonts w:ascii="Arial" w:hAnsi="Arial" w:cs="Arial"/>
                <w:color w:val="FF0000"/>
                <w:lang w:val="el-GR"/>
              </w:rPr>
            </w:pPr>
            <w:r w:rsidRPr="00347D77">
              <w:rPr>
                <w:rFonts w:ascii="Arial" w:hAnsi="Arial" w:cs="Arial"/>
              </w:rPr>
              <w:t>549</w:t>
            </w:r>
            <w:r>
              <w:rPr>
                <w:rFonts w:ascii="Arial" w:hAnsi="Arial" w:cs="Arial"/>
              </w:rPr>
              <w:t>,</w:t>
            </w:r>
            <w:r w:rsidRPr="00347D77">
              <w:rPr>
                <w:rFonts w:ascii="Arial" w:hAnsi="Arial" w:cs="Arial"/>
              </w:rPr>
              <w:t>6</w:t>
            </w:r>
          </w:p>
        </w:tc>
        <w:tc>
          <w:tcPr>
            <w:tcW w:w="1567" w:type="dxa"/>
            <w:tcBorders>
              <w:top w:val="nil"/>
              <w:left w:val="nil"/>
              <w:bottom w:val="nil"/>
              <w:right w:val="nil"/>
            </w:tcBorders>
            <w:shd w:val="clear" w:color="auto" w:fill="F2F2F2" w:themeFill="background1" w:themeFillShade="F2"/>
            <w:vAlign w:val="center"/>
          </w:tcPr>
          <w:p w14:paraId="73947C1C" w14:textId="691A229A" w:rsidR="005324C6" w:rsidRPr="00245FE0" w:rsidRDefault="005324C6" w:rsidP="005324C6">
            <w:pPr>
              <w:pStyle w:val="ColorfulList-Accent11"/>
              <w:tabs>
                <w:tab w:val="left" w:pos="0"/>
                <w:tab w:val="left" w:pos="284"/>
              </w:tabs>
              <w:ind w:left="0" w:right="-90"/>
              <w:jc w:val="center"/>
              <w:rPr>
                <w:rFonts w:ascii="Arial" w:hAnsi="Arial" w:cs="Arial"/>
                <w:color w:val="FF0000"/>
                <w:lang w:val="el-GR"/>
              </w:rPr>
            </w:pPr>
            <w:r w:rsidRPr="00347D77">
              <w:rPr>
                <w:rFonts w:ascii="Arial" w:hAnsi="Arial" w:cs="Arial"/>
              </w:rPr>
              <w:t>+0</w:t>
            </w:r>
            <w:r>
              <w:rPr>
                <w:rFonts w:ascii="Arial" w:hAnsi="Arial" w:cs="Arial"/>
              </w:rPr>
              <w:t>,</w:t>
            </w:r>
            <w:r w:rsidRPr="00347D77">
              <w:rPr>
                <w:rFonts w:ascii="Arial" w:hAnsi="Arial" w:cs="Arial"/>
              </w:rPr>
              <w:t>3%</w:t>
            </w:r>
          </w:p>
        </w:tc>
      </w:tr>
      <w:tr w:rsidR="005324C6" w:rsidRPr="002571F1" w14:paraId="1C692849" w14:textId="77777777" w:rsidTr="00F12B97">
        <w:trPr>
          <w:trHeight w:val="301"/>
        </w:trPr>
        <w:tc>
          <w:tcPr>
            <w:tcW w:w="4978" w:type="dxa"/>
            <w:tcBorders>
              <w:top w:val="nil"/>
              <w:bottom w:val="single" w:sz="2" w:space="0" w:color="BFBFBF" w:themeColor="background1" w:themeShade="BF"/>
              <w:right w:val="nil"/>
            </w:tcBorders>
            <w:shd w:val="clear" w:color="auto" w:fill="FFFFFF" w:themeFill="background1"/>
            <w:vAlign w:val="center"/>
          </w:tcPr>
          <w:p w14:paraId="5DA2908E" w14:textId="4D83A4E7" w:rsidR="005324C6" w:rsidRPr="00CC5811" w:rsidRDefault="005324C6" w:rsidP="005324C6">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Καθαρός δανεισμός</w:t>
            </w:r>
          </w:p>
        </w:tc>
        <w:tc>
          <w:tcPr>
            <w:tcW w:w="2078" w:type="dxa"/>
            <w:tcBorders>
              <w:top w:val="nil"/>
              <w:left w:val="nil"/>
              <w:bottom w:val="single" w:sz="2" w:space="0" w:color="BFBFBF" w:themeColor="background1" w:themeShade="BF"/>
              <w:right w:val="nil"/>
            </w:tcBorders>
            <w:shd w:val="clear" w:color="auto" w:fill="FFFFFF" w:themeFill="background1"/>
            <w:vAlign w:val="center"/>
          </w:tcPr>
          <w:p w14:paraId="40908EB9" w14:textId="7C29EE7F"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sidRPr="00E63398">
              <w:rPr>
                <w:rFonts w:ascii="Arial" w:hAnsi="Arial" w:cs="Arial"/>
              </w:rPr>
              <w:t>519</w:t>
            </w:r>
            <w:r>
              <w:rPr>
                <w:rFonts w:ascii="Arial" w:hAnsi="Arial" w:cs="Arial"/>
              </w:rPr>
              <w:t>,</w:t>
            </w:r>
            <w:r w:rsidRPr="00E63398">
              <w:rPr>
                <w:rFonts w:ascii="Arial" w:hAnsi="Arial" w:cs="Arial"/>
              </w:rPr>
              <w:t xml:space="preserve">1 </w:t>
            </w:r>
          </w:p>
        </w:tc>
        <w:tc>
          <w:tcPr>
            <w:tcW w:w="2016" w:type="dxa"/>
            <w:tcBorders>
              <w:top w:val="nil"/>
              <w:left w:val="nil"/>
              <w:bottom w:val="single" w:sz="2" w:space="0" w:color="BFBFBF" w:themeColor="background1" w:themeShade="BF"/>
              <w:right w:val="nil"/>
            </w:tcBorders>
            <w:shd w:val="clear" w:color="auto" w:fill="FFFFFF" w:themeFill="background1"/>
            <w:vAlign w:val="center"/>
          </w:tcPr>
          <w:p w14:paraId="04C021B5" w14:textId="3ABC9F49"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sidRPr="00E63398">
              <w:rPr>
                <w:rFonts w:ascii="Arial" w:hAnsi="Arial" w:cs="Arial"/>
              </w:rPr>
              <w:t>561</w:t>
            </w:r>
            <w:r>
              <w:rPr>
                <w:rFonts w:ascii="Arial" w:hAnsi="Arial" w:cs="Arial"/>
              </w:rPr>
              <w:t>,</w:t>
            </w:r>
            <w:r w:rsidRPr="00E63398">
              <w:rPr>
                <w:rFonts w:ascii="Arial" w:hAnsi="Arial" w:cs="Arial"/>
              </w:rPr>
              <w:t xml:space="preserve">7 </w:t>
            </w:r>
          </w:p>
        </w:tc>
        <w:tc>
          <w:tcPr>
            <w:tcW w:w="1567" w:type="dxa"/>
            <w:tcBorders>
              <w:top w:val="nil"/>
              <w:left w:val="nil"/>
              <w:bottom w:val="single" w:sz="2" w:space="0" w:color="BFBFBF" w:themeColor="background1" w:themeShade="BF"/>
              <w:right w:val="nil"/>
            </w:tcBorders>
            <w:shd w:val="clear" w:color="auto" w:fill="FFFFFF" w:themeFill="background1"/>
            <w:vAlign w:val="center"/>
          </w:tcPr>
          <w:p w14:paraId="59D9CFB4" w14:textId="7811F84D" w:rsidR="005324C6" w:rsidRPr="00245FE0" w:rsidRDefault="005324C6" w:rsidP="005324C6">
            <w:pPr>
              <w:pStyle w:val="ColorfulList-Accent11"/>
              <w:tabs>
                <w:tab w:val="left" w:pos="0"/>
                <w:tab w:val="left" w:pos="284"/>
              </w:tabs>
              <w:ind w:left="0" w:right="-90"/>
              <w:jc w:val="center"/>
              <w:rPr>
                <w:rFonts w:ascii="Arial" w:hAnsi="Arial" w:cs="Arial"/>
                <w:i/>
                <w:color w:val="FF0000"/>
              </w:rPr>
            </w:pPr>
            <w:r w:rsidRPr="00E63398">
              <w:rPr>
                <w:rFonts w:ascii="Arial" w:hAnsi="Arial" w:cs="Arial"/>
              </w:rPr>
              <w:t>-7</w:t>
            </w:r>
            <w:r>
              <w:rPr>
                <w:rFonts w:ascii="Arial" w:hAnsi="Arial" w:cs="Arial"/>
              </w:rPr>
              <w:t>,</w:t>
            </w:r>
            <w:r w:rsidRPr="00E63398">
              <w:rPr>
                <w:rFonts w:ascii="Arial" w:hAnsi="Arial" w:cs="Arial"/>
              </w:rPr>
              <w:t>6%</w:t>
            </w:r>
          </w:p>
        </w:tc>
      </w:tr>
    </w:tbl>
    <w:p w14:paraId="1057ACC3" w14:textId="1B6C38A2" w:rsidR="003A3363" w:rsidRPr="001B28E9" w:rsidRDefault="00815314" w:rsidP="00815314">
      <w:pPr>
        <w:pStyle w:val="FootnoteText"/>
        <w:jc w:val="both"/>
        <w:rPr>
          <w:rFonts w:ascii="Arial" w:hAnsi="Arial" w:cs="Arial"/>
          <w:b/>
          <w:i/>
          <w:iCs/>
          <w:color w:val="004E9A"/>
          <w:lang w:val="el-GR"/>
        </w:rPr>
      </w:pPr>
      <w:r w:rsidRPr="007C029E">
        <w:rPr>
          <w:rFonts w:ascii="Arial" w:hAnsi="Arial" w:cs="Arial"/>
          <w:i/>
          <w:sz w:val="14"/>
          <w:szCs w:val="14"/>
          <w:lang w:val="el-GR"/>
        </w:rPr>
        <w:t>Σημείωση</w:t>
      </w:r>
      <w:r w:rsidR="00924AB6" w:rsidRPr="007C029E">
        <w:rPr>
          <w:rFonts w:ascii="Arial" w:hAnsi="Arial" w:cs="Arial"/>
          <w:i/>
          <w:sz w:val="14"/>
          <w:szCs w:val="14"/>
          <w:lang w:val="el-GR"/>
        </w:rPr>
        <w:t>:</w:t>
      </w:r>
      <w:r w:rsidRPr="007C029E">
        <w:rPr>
          <w:rFonts w:ascii="Arial" w:hAnsi="Arial" w:cs="Arial"/>
          <w:i/>
          <w:sz w:val="14"/>
          <w:szCs w:val="14"/>
          <w:lang w:val="el-GR"/>
        </w:rPr>
        <w:t xml:space="preserve"> Σε συνέχεια πώλησης της </w:t>
      </w:r>
      <w:r w:rsidR="00924AB6" w:rsidRPr="007C029E">
        <w:rPr>
          <w:rFonts w:ascii="Arial" w:hAnsi="Arial" w:cs="Arial"/>
          <w:i/>
          <w:sz w:val="14"/>
          <w:szCs w:val="14"/>
        </w:rPr>
        <w:t>TELEKOM</w:t>
      </w:r>
      <w:r w:rsidR="00924AB6" w:rsidRPr="007C029E">
        <w:rPr>
          <w:rFonts w:ascii="Arial" w:hAnsi="Arial" w:cs="Arial"/>
          <w:i/>
          <w:sz w:val="14"/>
          <w:szCs w:val="14"/>
          <w:lang w:val="el-GR"/>
        </w:rPr>
        <w:t xml:space="preserve"> </w:t>
      </w:r>
      <w:r w:rsidR="00924AB6" w:rsidRPr="007C029E">
        <w:rPr>
          <w:rFonts w:ascii="Arial" w:hAnsi="Arial" w:cs="Arial"/>
          <w:i/>
          <w:sz w:val="14"/>
          <w:szCs w:val="14"/>
        </w:rPr>
        <w:t>ROMANIA</w:t>
      </w:r>
      <w:r w:rsidR="00924AB6" w:rsidRPr="007C029E">
        <w:rPr>
          <w:rFonts w:ascii="Arial" w:hAnsi="Arial" w:cs="Arial"/>
          <w:i/>
          <w:sz w:val="14"/>
          <w:szCs w:val="14"/>
          <w:lang w:val="el-GR"/>
        </w:rPr>
        <w:t xml:space="preserve"> </w:t>
      </w:r>
      <w:r w:rsidR="00924AB6" w:rsidRPr="007C029E">
        <w:rPr>
          <w:rFonts w:ascii="Arial" w:hAnsi="Arial" w:cs="Arial"/>
          <w:i/>
          <w:sz w:val="14"/>
          <w:szCs w:val="14"/>
        </w:rPr>
        <w:t>MOBILE</w:t>
      </w:r>
      <w:r w:rsidR="00924AB6" w:rsidRPr="007C029E">
        <w:rPr>
          <w:rFonts w:ascii="Arial" w:hAnsi="Arial" w:cs="Arial"/>
          <w:i/>
          <w:sz w:val="14"/>
          <w:szCs w:val="14"/>
          <w:lang w:val="el-GR"/>
        </w:rPr>
        <w:t xml:space="preserve"> </w:t>
      </w:r>
      <w:r w:rsidR="00924AB6" w:rsidRPr="007C029E">
        <w:rPr>
          <w:rFonts w:ascii="Arial" w:hAnsi="Arial" w:cs="Arial"/>
          <w:i/>
          <w:sz w:val="14"/>
          <w:szCs w:val="14"/>
        </w:rPr>
        <w:t>COMMUNICATIONS</w:t>
      </w:r>
      <w:r w:rsidR="00924AB6" w:rsidRPr="007C029E">
        <w:rPr>
          <w:rFonts w:ascii="Arial" w:hAnsi="Arial" w:cs="Arial"/>
          <w:i/>
          <w:sz w:val="14"/>
          <w:szCs w:val="14"/>
          <w:lang w:val="el-GR"/>
        </w:rPr>
        <w:t xml:space="preserve"> (</w:t>
      </w:r>
      <w:r w:rsidR="00924AB6" w:rsidRPr="007C029E">
        <w:rPr>
          <w:rFonts w:ascii="Arial" w:hAnsi="Arial" w:cs="Arial"/>
          <w:i/>
          <w:sz w:val="14"/>
          <w:szCs w:val="14"/>
        </w:rPr>
        <w:t>TKRM</w:t>
      </w:r>
      <w:r w:rsidR="00924AB6" w:rsidRPr="007C029E">
        <w:rPr>
          <w:rFonts w:ascii="Arial" w:hAnsi="Arial" w:cs="Arial"/>
          <w:i/>
          <w:sz w:val="14"/>
          <w:szCs w:val="14"/>
          <w:lang w:val="el-GR"/>
        </w:rPr>
        <w:t xml:space="preserve">), </w:t>
      </w:r>
      <w:r w:rsidRPr="007C029E">
        <w:rPr>
          <w:rFonts w:ascii="Arial" w:hAnsi="Arial" w:cs="Arial"/>
          <w:i/>
          <w:sz w:val="14"/>
          <w:szCs w:val="14"/>
          <w:lang w:val="el-GR"/>
        </w:rPr>
        <w:t>όλα τα στοιχεία</w:t>
      </w:r>
      <w:r w:rsidR="00924AB6" w:rsidRPr="007C029E">
        <w:rPr>
          <w:rFonts w:ascii="Arial" w:hAnsi="Arial" w:cs="Arial"/>
          <w:i/>
          <w:sz w:val="14"/>
          <w:szCs w:val="14"/>
          <w:lang w:val="el-GR"/>
        </w:rPr>
        <w:t xml:space="preserve"> </w:t>
      </w:r>
      <w:r w:rsidR="00D55589" w:rsidRPr="007C029E">
        <w:rPr>
          <w:rFonts w:ascii="Arial" w:hAnsi="Arial" w:cs="Arial"/>
          <w:i/>
          <w:sz w:val="14"/>
          <w:szCs w:val="14"/>
          <w:lang w:val="el-GR"/>
        </w:rPr>
        <w:t xml:space="preserve"> για το 2025,</w:t>
      </w:r>
      <w:r w:rsidR="00F8328D" w:rsidRPr="007C029E">
        <w:rPr>
          <w:rFonts w:ascii="Arial" w:hAnsi="Arial" w:cs="Arial"/>
          <w:i/>
          <w:sz w:val="14"/>
          <w:szCs w:val="14"/>
          <w:lang w:val="el-GR"/>
        </w:rPr>
        <w:t xml:space="preserve"> </w:t>
      </w:r>
      <w:r w:rsidR="00924AB6" w:rsidRPr="007C029E">
        <w:rPr>
          <w:rFonts w:ascii="Arial" w:hAnsi="Arial" w:cs="Arial"/>
          <w:i/>
          <w:sz w:val="14"/>
          <w:szCs w:val="14"/>
          <w:lang w:val="el-GR"/>
        </w:rPr>
        <w:t>(</w:t>
      </w:r>
      <w:r w:rsidRPr="007C029E">
        <w:rPr>
          <w:rFonts w:ascii="Arial" w:hAnsi="Arial" w:cs="Arial"/>
          <w:i/>
          <w:sz w:val="14"/>
          <w:szCs w:val="14"/>
          <w:lang w:val="el-GR"/>
        </w:rPr>
        <w:t xml:space="preserve">εκτός από τον ισολογισμό </w:t>
      </w:r>
      <w:r w:rsidR="00F8328D" w:rsidRPr="007C029E">
        <w:rPr>
          <w:rFonts w:ascii="Arial" w:hAnsi="Arial" w:cs="Arial"/>
          <w:i/>
          <w:iCs/>
          <w:sz w:val="14"/>
          <w:szCs w:val="14"/>
          <w:lang w:val="el-GR"/>
        </w:rPr>
        <w:t>2025</w:t>
      </w:r>
      <w:r w:rsidR="00924AB6" w:rsidRPr="007C029E">
        <w:rPr>
          <w:rFonts w:ascii="Arial" w:hAnsi="Arial" w:cs="Arial"/>
          <w:i/>
          <w:sz w:val="14"/>
          <w:szCs w:val="14"/>
          <w:lang w:val="el-GR"/>
        </w:rPr>
        <w:t xml:space="preserve">) </w:t>
      </w:r>
      <w:r w:rsidRPr="007C029E">
        <w:rPr>
          <w:rFonts w:ascii="Arial" w:hAnsi="Arial" w:cs="Arial"/>
          <w:i/>
          <w:sz w:val="14"/>
          <w:szCs w:val="14"/>
          <w:lang w:val="el-GR"/>
        </w:rPr>
        <w:t>είναι προσαρμοσμένα</w:t>
      </w:r>
      <w:r w:rsidR="00D55589" w:rsidRPr="007C029E">
        <w:rPr>
          <w:rFonts w:ascii="Arial" w:hAnsi="Arial" w:cs="Arial"/>
          <w:i/>
          <w:sz w:val="14"/>
          <w:szCs w:val="14"/>
          <w:lang w:val="el-GR"/>
        </w:rPr>
        <w:t>,</w:t>
      </w:r>
      <w:r w:rsidRPr="007C029E">
        <w:rPr>
          <w:rFonts w:ascii="Arial" w:hAnsi="Arial" w:cs="Arial"/>
          <w:i/>
          <w:sz w:val="14"/>
          <w:szCs w:val="14"/>
          <w:lang w:val="el-GR"/>
        </w:rPr>
        <w:t xml:space="preserve"> ώστε να αντικατοπτρίζουν μόνο τις συνεχιζόμενες δραστηριότητες. </w:t>
      </w:r>
      <w:r w:rsidRPr="007C029E">
        <w:rPr>
          <w:rFonts w:ascii="Arial" w:hAnsi="Arial" w:cs="Arial"/>
          <w:i/>
          <w:color w:val="000000"/>
          <w:sz w:val="14"/>
          <w:szCs w:val="14"/>
          <w:lang w:val="el-GR"/>
          <w14:ligatures w14:val="standardContextual"/>
        </w:rPr>
        <w:t xml:space="preserve">Οι λειτουργικές δραστηριότητες της έχουν αντιμετωπιστεί ως διακοπείσες δραστηριότητες </w:t>
      </w:r>
      <w:r w:rsidR="001B28E9" w:rsidRPr="007C029E">
        <w:rPr>
          <w:rFonts w:ascii="Arial" w:hAnsi="Arial" w:cs="Arial"/>
          <w:i/>
          <w:color w:val="000000"/>
          <w:sz w:val="14"/>
          <w:szCs w:val="14"/>
          <w:lang w:val="el-GR"/>
          <w14:ligatures w14:val="standardContextual"/>
        </w:rPr>
        <w:t xml:space="preserve"> για </w:t>
      </w:r>
      <w:r w:rsidRPr="007C029E">
        <w:rPr>
          <w:rFonts w:ascii="Arial" w:hAnsi="Arial" w:cs="Arial"/>
          <w:i/>
          <w:color w:val="000000"/>
          <w:sz w:val="14"/>
          <w:szCs w:val="14"/>
          <w:lang w:val="el-GR"/>
          <w14:ligatures w14:val="standardContextual"/>
        </w:rPr>
        <w:t>το 2025</w:t>
      </w:r>
      <w:r w:rsidR="00CD3991" w:rsidRPr="007C029E">
        <w:rPr>
          <w:rFonts w:ascii="Arial" w:hAnsi="Arial" w:cs="Arial"/>
          <w:i/>
          <w:color w:val="000000"/>
          <w:sz w:val="14"/>
          <w:szCs w:val="14"/>
          <w:lang w:val="el-GR"/>
          <w14:ligatures w14:val="standardContextual"/>
        </w:rPr>
        <w:t xml:space="preserve"> (μέχρι και την ημερομηνία πώλησης)</w:t>
      </w:r>
      <w:r w:rsidRPr="007C029E">
        <w:rPr>
          <w:rFonts w:ascii="Arial" w:hAnsi="Arial" w:cs="Arial"/>
          <w:i/>
          <w:color w:val="000000"/>
          <w:sz w:val="14"/>
          <w:szCs w:val="14"/>
          <w:lang w:val="el-GR"/>
          <w14:ligatures w14:val="standardContextual"/>
        </w:rPr>
        <w:t>.</w:t>
      </w:r>
      <w:r w:rsidRPr="00FB20CB">
        <w:rPr>
          <w:rFonts w:ascii="Arial" w:hAnsi="Arial" w:cs="Arial"/>
          <w:i/>
          <w:color w:val="000000"/>
          <w:sz w:val="14"/>
          <w:szCs w:val="14"/>
          <w:lang w:val="el-GR"/>
          <w14:ligatures w14:val="standardContextual"/>
        </w:rPr>
        <w:t xml:space="preserve">  </w:t>
      </w:r>
    </w:p>
    <w:p w14:paraId="16055367" w14:textId="77777777" w:rsidR="003A3363" w:rsidRPr="00815314" w:rsidRDefault="003A3363" w:rsidP="003F26FE">
      <w:pPr>
        <w:tabs>
          <w:tab w:val="left" w:pos="7869"/>
        </w:tabs>
        <w:spacing w:after="0" w:line="280" w:lineRule="exact"/>
        <w:jc w:val="both"/>
        <w:rPr>
          <w:rFonts w:ascii="Arial" w:eastAsia="Times New Roman" w:hAnsi="Arial" w:cs="Arial"/>
          <w:b/>
          <w:color w:val="004E9A"/>
        </w:rPr>
      </w:pPr>
    </w:p>
    <w:p w14:paraId="758BAD07" w14:textId="06C9C59B" w:rsidR="008A55A6" w:rsidRPr="00137B29" w:rsidRDefault="009E285A" w:rsidP="00F26AB3">
      <w:pPr>
        <w:rPr>
          <w:rFonts w:ascii="Arial" w:eastAsia="Times New Roman" w:hAnsi="Arial" w:cs="Arial"/>
          <w:b/>
          <w:color w:val="004E9A"/>
        </w:rPr>
      </w:pPr>
      <w:r w:rsidRPr="004240F9">
        <w:rPr>
          <w:rFonts w:ascii="Arial" w:eastAsia="Times New Roman" w:hAnsi="Arial" w:cs="Arial"/>
          <w:b/>
          <w:color w:val="004E9A"/>
        </w:rPr>
        <w:t xml:space="preserve">Μήνυμα του Προέδρου και Διευθύνοντος Συμβούλου, κ. </w:t>
      </w:r>
      <w:r w:rsidR="00A77437" w:rsidRPr="004240F9">
        <w:rPr>
          <w:rFonts w:ascii="Arial" w:eastAsia="Times New Roman" w:hAnsi="Arial" w:cs="Arial"/>
          <w:b/>
          <w:color w:val="004E9A"/>
        </w:rPr>
        <w:t>Κώστα Νεμπή</w:t>
      </w:r>
      <w:r w:rsidR="003F26FE">
        <w:rPr>
          <w:rFonts w:ascii="Arial" w:eastAsia="Times New Roman" w:hAnsi="Arial" w:cs="Arial"/>
          <w:b/>
          <w:color w:val="004E9A"/>
        </w:rPr>
        <w:tab/>
      </w:r>
    </w:p>
    <w:p w14:paraId="7B0C625D" w14:textId="4407BB02" w:rsidR="005129CB" w:rsidRDefault="004120B3" w:rsidP="00AF1C9C">
      <w:pPr>
        <w:spacing w:line="276" w:lineRule="auto"/>
        <w:jc w:val="both"/>
      </w:pPr>
      <w:bookmarkStart w:id="0" w:name="_Hlk182228947"/>
      <w:bookmarkStart w:id="1" w:name="_Hlk182228019"/>
      <w:r w:rsidRPr="00225786">
        <w:rPr>
          <w:rFonts w:ascii="Arial" w:hAnsi="Arial" w:cs="Arial"/>
          <w:szCs w:val="20"/>
        </w:rPr>
        <w:t>«</w:t>
      </w:r>
      <w:r w:rsidR="00997374">
        <w:rPr>
          <w:rFonts w:ascii="Arial" w:hAnsi="Arial" w:cs="Arial"/>
          <w:szCs w:val="20"/>
        </w:rPr>
        <w:t>Οι</w:t>
      </w:r>
      <w:r w:rsidR="00997374" w:rsidRPr="00997374">
        <w:rPr>
          <w:rFonts w:ascii="Arial" w:hAnsi="Arial" w:cs="Arial"/>
          <w:szCs w:val="20"/>
        </w:rPr>
        <w:t xml:space="preserve"> </w:t>
      </w:r>
      <w:r w:rsidR="00997374">
        <w:rPr>
          <w:rFonts w:ascii="Arial" w:hAnsi="Arial" w:cs="Arial"/>
          <w:szCs w:val="20"/>
        </w:rPr>
        <w:t>επιδόσεις</w:t>
      </w:r>
      <w:r w:rsidR="00997374" w:rsidRPr="00997374">
        <w:rPr>
          <w:rFonts w:ascii="Arial" w:hAnsi="Arial" w:cs="Arial"/>
          <w:szCs w:val="20"/>
        </w:rPr>
        <w:t xml:space="preserve"> του πρώτου τριμήνου σηματοδοτ</w:t>
      </w:r>
      <w:r w:rsidR="00997374">
        <w:rPr>
          <w:rFonts w:ascii="Arial" w:hAnsi="Arial" w:cs="Arial"/>
          <w:szCs w:val="20"/>
        </w:rPr>
        <w:t xml:space="preserve">ούν </w:t>
      </w:r>
      <w:r w:rsidR="00997374" w:rsidRPr="00997374">
        <w:rPr>
          <w:rFonts w:ascii="Arial" w:hAnsi="Arial" w:cs="Arial"/>
          <w:szCs w:val="20"/>
        </w:rPr>
        <w:t xml:space="preserve">ένα ισχυρό ξεκίνημα για το 2026, αντικατοπτρίζοντας τη </w:t>
      </w:r>
      <w:r w:rsidR="00997374" w:rsidRPr="008A55A6">
        <w:rPr>
          <w:rFonts w:ascii="Arial" w:hAnsi="Arial" w:cs="Arial"/>
          <w:szCs w:val="20"/>
        </w:rPr>
        <w:t>δυναμική</w:t>
      </w:r>
      <w:r w:rsidR="008A55A6">
        <w:rPr>
          <w:rFonts w:ascii="Arial" w:hAnsi="Arial" w:cs="Arial"/>
          <w:szCs w:val="20"/>
        </w:rPr>
        <w:t xml:space="preserve"> μας</w:t>
      </w:r>
      <w:r w:rsidR="00997374" w:rsidRPr="00997374">
        <w:rPr>
          <w:rFonts w:ascii="Arial" w:hAnsi="Arial" w:cs="Arial"/>
          <w:szCs w:val="20"/>
        </w:rPr>
        <w:t xml:space="preserve"> και την </w:t>
      </w:r>
      <w:r w:rsidR="0063216D">
        <w:rPr>
          <w:rFonts w:ascii="Arial" w:hAnsi="Arial" w:cs="Arial"/>
          <w:szCs w:val="20"/>
        </w:rPr>
        <w:t xml:space="preserve">επιτυχημένη </w:t>
      </w:r>
      <w:r w:rsidR="00997374" w:rsidRPr="00997374">
        <w:rPr>
          <w:rFonts w:ascii="Arial" w:hAnsi="Arial" w:cs="Arial"/>
          <w:szCs w:val="20"/>
        </w:rPr>
        <w:t xml:space="preserve">υλοποίηση </w:t>
      </w:r>
      <w:r w:rsidR="0063216D">
        <w:rPr>
          <w:rFonts w:ascii="Arial" w:hAnsi="Arial" w:cs="Arial"/>
          <w:szCs w:val="20"/>
        </w:rPr>
        <w:t xml:space="preserve">της στρατηγικής </w:t>
      </w:r>
      <w:r w:rsidR="00CF2963">
        <w:rPr>
          <w:rFonts w:ascii="Arial" w:hAnsi="Arial" w:cs="Arial"/>
          <w:szCs w:val="20"/>
        </w:rPr>
        <w:t>μας</w:t>
      </w:r>
      <w:r w:rsidR="00CF2963">
        <w:t xml:space="preserve">, </w:t>
      </w:r>
      <w:r w:rsidR="00CF2963" w:rsidRPr="00A54BFB">
        <w:rPr>
          <w:rFonts w:ascii="Arial" w:hAnsi="Arial" w:cs="Arial"/>
          <w:szCs w:val="20"/>
        </w:rPr>
        <w:t>που εστιάζει</w:t>
      </w:r>
      <w:r w:rsidR="00097191" w:rsidRPr="00A54BFB">
        <w:rPr>
          <w:rFonts w:ascii="Arial" w:hAnsi="Arial" w:cs="Arial"/>
          <w:szCs w:val="20"/>
        </w:rPr>
        <w:t xml:space="preserve"> στην επιτάχυνση </w:t>
      </w:r>
      <w:r w:rsidR="00A72B9B" w:rsidRPr="00A54BFB">
        <w:rPr>
          <w:rFonts w:ascii="Arial" w:hAnsi="Arial" w:cs="Arial"/>
          <w:szCs w:val="20"/>
        </w:rPr>
        <w:t xml:space="preserve">τόσο </w:t>
      </w:r>
      <w:r w:rsidR="00097191" w:rsidRPr="00A54BFB">
        <w:rPr>
          <w:rFonts w:ascii="Arial" w:hAnsi="Arial" w:cs="Arial"/>
          <w:szCs w:val="20"/>
        </w:rPr>
        <w:t>της ανάπτυξής μας</w:t>
      </w:r>
      <w:r w:rsidR="00EC30BE">
        <w:rPr>
          <w:rFonts w:ascii="Arial" w:hAnsi="Arial" w:cs="Arial"/>
          <w:szCs w:val="20"/>
        </w:rPr>
        <w:t>,</w:t>
      </w:r>
      <w:r w:rsidR="00A72B9B">
        <w:rPr>
          <w:rFonts w:ascii="Arial" w:hAnsi="Arial" w:cs="Arial"/>
          <w:szCs w:val="20"/>
        </w:rPr>
        <w:t xml:space="preserve"> όσο και της ψηφιακοποίησης </w:t>
      </w:r>
      <w:r w:rsidR="00277967" w:rsidRPr="00277967">
        <w:rPr>
          <w:rFonts w:ascii="Arial" w:hAnsi="Arial" w:cs="Arial"/>
          <w:szCs w:val="20"/>
        </w:rPr>
        <w:t>της χώρας</w:t>
      </w:r>
      <w:r w:rsidR="00997374" w:rsidRPr="00997374">
        <w:rPr>
          <w:rFonts w:ascii="Arial" w:hAnsi="Arial" w:cs="Arial"/>
          <w:szCs w:val="20"/>
        </w:rPr>
        <w:t>.</w:t>
      </w:r>
      <w:r w:rsidR="00997374">
        <w:rPr>
          <w:rFonts w:ascii="Arial" w:hAnsi="Arial" w:cs="Arial"/>
          <w:szCs w:val="20"/>
        </w:rPr>
        <w:t xml:space="preserve"> </w:t>
      </w:r>
      <w:r w:rsidR="00EC30BE">
        <w:rPr>
          <w:rFonts w:ascii="Arial" w:hAnsi="Arial" w:cs="Arial"/>
          <w:szCs w:val="20"/>
        </w:rPr>
        <w:t>Τ</w:t>
      </w:r>
      <w:r w:rsidR="00997374" w:rsidRPr="00997374">
        <w:rPr>
          <w:rFonts w:ascii="Arial" w:hAnsi="Arial" w:cs="Arial"/>
          <w:szCs w:val="20"/>
        </w:rPr>
        <w:t>α έσοδα</w:t>
      </w:r>
      <w:r w:rsidR="00997374">
        <w:rPr>
          <w:rFonts w:ascii="Arial" w:hAnsi="Arial" w:cs="Arial"/>
          <w:szCs w:val="20"/>
        </w:rPr>
        <w:t xml:space="preserve"> </w:t>
      </w:r>
      <w:r w:rsidR="00997374" w:rsidRPr="00997374">
        <w:rPr>
          <w:rFonts w:ascii="Arial" w:hAnsi="Arial" w:cs="Arial"/>
          <w:szCs w:val="20"/>
        </w:rPr>
        <w:t xml:space="preserve">και </w:t>
      </w:r>
      <w:r w:rsidR="00997374">
        <w:rPr>
          <w:rFonts w:ascii="Arial" w:hAnsi="Arial" w:cs="Arial"/>
          <w:szCs w:val="20"/>
        </w:rPr>
        <w:t>το</w:t>
      </w:r>
      <w:r w:rsidR="00997374" w:rsidRPr="00997374">
        <w:rPr>
          <w:rFonts w:ascii="Arial" w:hAnsi="Arial" w:cs="Arial"/>
          <w:szCs w:val="20"/>
        </w:rPr>
        <w:t xml:space="preserve"> EBITDA κατέγραψαν αύξηση, </w:t>
      </w:r>
      <w:r w:rsidR="008A55A6">
        <w:rPr>
          <w:rFonts w:ascii="Arial" w:hAnsi="Arial" w:cs="Arial"/>
          <w:szCs w:val="20"/>
        </w:rPr>
        <w:t>χάρη στις</w:t>
      </w:r>
      <w:r w:rsidR="00997374" w:rsidRPr="00997374">
        <w:rPr>
          <w:rFonts w:ascii="Arial" w:hAnsi="Arial" w:cs="Arial"/>
          <w:szCs w:val="20"/>
        </w:rPr>
        <w:t xml:space="preserve"> ισχυρ</w:t>
      </w:r>
      <w:r w:rsidR="00997374">
        <w:rPr>
          <w:rFonts w:ascii="Arial" w:hAnsi="Arial" w:cs="Arial"/>
          <w:szCs w:val="20"/>
        </w:rPr>
        <w:t>ές</w:t>
      </w:r>
      <w:r w:rsidR="00997374" w:rsidRPr="00997374">
        <w:rPr>
          <w:rFonts w:ascii="Arial" w:hAnsi="Arial" w:cs="Arial"/>
          <w:szCs w:val="20"/>
        </w:rPr>
        <w:t xml:space="preserve"> </w:t>
      </w:r>
      <w:r w:rsidR="00997374">
        <w:rPr>
          <w:rFonts w:ascii="Arial" w:hAnsi="Arial" w:cs="Arial"/>
          <w:szCs w:val="20"/>
        </w:rPr>
        <w:t>επιδόσεις</w:t>
      </w:r>
      <w:r w:rsidR="00997374" w:rsidRPr="00997374">
        <w:rPr>
          <w:rFonts w:ascii="Arial" w:hAnsi="Arial" w:cs="Arial"/>
          <w:szCs w:val="20"/>
        </w:rPr>
        <w:t xml:space="preserve"> </w:t>
      </w:r>
      <w:r w:rsidR="008A55A6">
        <w:rPr>
          <w:rFonts w:ascii="Arial" w:hAnsi="Arial" w:cs="Arial"/>
          <w:szCs w:val="20"/>
        </w:rPr>
        <w:t>σ</w:t>
      </w:r>
      <w:r w:rsidR="00997374" w:rsidRPr="00997374">
        <w:rPr>
          <w:rFonts w:ascii="Arial" w:hAnsi="Arial" w:cs="Arial"/>
          <w:szCs w:val="20"/>
        </w:rPr>
        <w:t>τη</w:t>
      </w:r>
      <w:r w:rsidR="008A55A6">
        <w:rPr>
          <w:rFonts w:ascii="Arial" w:hAnsi="Arial" w:cs="Arial"/>
          <w:szCs w:val="20"/>
        </w:rPr>
        <w:t>ν</w:t>
      </w:r>
      <w:r w:rsidR="00997374" w:rsidRPr="00997374">
        <w:rPr>
          <w:rFonts w:ascii="Arial" w:hAnsi="Arial" w:cs="Arial"/>
          <w:szCs w:val="20"/>
        </w:rPr>
        <w:t xml:space="preserve"> κινητή</w:t>
      </w:r>
      <w:r w:rsidR="007301EC" w:rsidRPr="007301EC">
        <w:rPr>
          <w:rFonts w:ascii="Arial" w:hAnsi="Arial" w:cs="Arial"/>
          <w:szCs w:val="20"/>
        </w:rPr>
        <w:t>,</w:t>
      </w:r>
      <w:r w:rsidR="00997374" w:rsidRPr="00997374">
        <w:rPr>
          <w:rFonts w:ascii="Arial" w:hAnsi="Arial" w:cs="Arial"/>
          <w:szCs w:val="20"/>
        </w:rPr>
        <w:t xml:space="preserve"> </w:t>
      </w:r>
      <w:r w:rsidR="00997374">
        <w:rPr>
          <w:rFonts w:ascii="Arial" w:hAnsi="Arial" w:cs="Arial"/>
          <w:szCs w:val="20"/>
        </w:rPr>
        <w:t>το</w:t>
      </w:r>
      <w:r w:rsidR="00997374" w:rsidRPr="00997374">
        <w:rPr>
          <w:rFonts w:ascii="Arial" w:hAnsi="Arial" w:cs="Arial"/>
          <w:szCs w:val="20"/>
        </w:rPr>
        <w:t xml:space="preserve"> ICT, </w:t>
      </w:r>
      <w:r w:rsidR="004B4C84">
        <w:rPr>
          <w:rFonts w:ascii="Arial" w:hAnsi="Arial" w:cs="Arial"/>
          <w:szCs w:val="20"/>
        </w:rPr>
        <w:t>αλλά</w:t>
      </w:r>
      <w:r w:rsidR="004B4C84" w:rsidRPr="00997374">
        <w:rPr>
          <w:rFonts w:ascii="Arial" w:hAnsi="Arial" w:cs="Arial"/>
          <w:szCs w:val="20"/>
        </w:rPr>
        <w:t xml:space="preserve"> </w:t>
      </w:r>
      <w:r w:rsidR="00997374" w:rsidRPr="00997374">
        <w:rPr>
          <w:rFonts w:ascii="Arial" w:hAnsi="Arial" w:cs="Arial"/>
          <w:szCs w:val="20"/>
        </w:rPr>
        <w:t>και τις θετικές τάσεις στη σταθερή.</w:t>
      </w:r>
      <w:r w:rsidR="00012B94">
        <w:rPr>
          <w:rFonts w:ascii="Arial" w:hAnsi="Arial" w:cs="Arial"/>
          <w:szCs w:val="20"/>
        </w:rPr>
        <w:t xml:space="preserve"> </w:t>
      </w:r>
      <w:r w:rsidR="00D67026" w:rsidRPr="00D67026">
        <w:rPr>
          <w:rFonts w:ascii="Arial" w:hAnsi="Arial" w:cs="Arial"/>
          <w:szCs w:val="20"/>
        </w:rPr>
        <w:t xml:space="preserve">Η </w:t>
      </w:r>
      <w:r w:rsidR="00D67026">
        <w:rPr>
          <w:rFonts w:ascii="Arial" w:hAnsi="Arial" w:cs="Arial"/>
          <w:szCs w:val="20"/>
        </w:rPr>
        <w:t>συνεχής επέκταση του δικτύου</w:t>
      </w:r>
      <w:r w:rsidR="00D67026" w:rsidRPr="00D67026">
        <w:rPr>
          <w:rFonts w:ascii="Arial" w:hAnsi="Arial" w:cs="Arial"/>
          <w:szCs w:val="20"/>
        </w:rPr>
        <w:t xml:space="preserve"> FTTH υποστηρίζει την αυξανόμενη ζήτηση για αναβαθμισμένες υπηρεσίες συνδεσιμότητας, </w:t>
      </w:r>
      <w:r w:rsidR="00EF5AC3">
        <w:rPr>
          <w:rFonts w:ascii="Arial" w:hAnsi="Arial" w:cs="Arial"/>
          <w:szCs w:val="20"/>
        </w:rPr>
        <w:t>γεγονός που</w:t>
      </w:r>
      <w:r w:rsidR="00EF5AC3" w:rsidRPr="00D67026">
        <w:rPr>
          <w:rFonts w:ascii="Arial" w:hAnsi="Arial" w:cs="Arial"/>
          <w:szCs w:val="20"/>
        </w:rPr>
        <w:t xml:space="preserve"> </w:t>
      </w:r>
      <w:r w:rsidR="00D67026" w:rsidRPr="00D67026">
        <w:rPr>
          <w:rFonts w:ascii="Arial" w:hAnsi="Arial" w:cs="Arial"/>
          <w:szCs w:val="20"/>
        </w:rPr>
        <w:t>αποτυπώνεται και στο</w:t>
      </w:r>
      <w:r w:rsidR="00EF5AC3">
        <w:rPr>
          <w:rFonts w:ascii="Arial" w:hAnsi="Arial" w:cs="Arial"/>
          <w:szCs w:val="20"/>
        </w:rPr>
        <w:t xml:space="preserve"> </w:t>
      </w:r>
      <w:r w:rsidR="00D67026" w:rsidRPr="00D67026">
        <w:rPr>
          <w:rFonts w:ascii="Arial" w:hAnsi="Arial" w:cs="Arial"/>
          <w:szCs w:val="20"/>
        </w:rPr>
        <w:t>ρεκόρ συνδέσεων FTTH</w:t>
      </w:r>
      <w:r w:rsidR="00EF5AC3">
        <w:rPr>
          <w:rFonts w:ascii="Arial" w:hAnsi="Arial" w:cs="Arial"/>
          <w:szCs w:val="20"/>
        </w:rPr>
        <w:t xml:space="preserve"> που σημειώσαμε</w:t>
      </w:r>
      <w:r w:rsidR="00D67026" w:rsidRPr="00D67026">
        <w:rPr>
          <w:rFonts w:ascii="Arial" w:hAnsi="Arial" w:cs="Arial"/>
          <w:szCs w:val="20"/>
        </w:rPr>
        <w:t xml:space="preserve">. Παράλληλα, </w:t>
      </w:r>
      <w:r w:rsidR="000D4A4F">
        <w:rPr>
          <w:rFonts w:ascii="Arial" w:hAnsi="Arial" w:cs="Arial"/>
          <w:szCs w:val="20"/>
        </w:rPr>
        <w:t xml:space="preserve">διευρύναμε το χαρτοφυλάκιό μας με νέες υπηρεσίες </w:t>
      </w:r>
      <w:r w:rsidR="00AA1A76">
        <w:rPr>
          <w:rFonts w:ascii="Arial" w:hAnsi="Arial" w:cs="Arial"/>
          <w:szCs w:val="20"/>
        </w:rPr>
        <w:t>συνδεσιμότητας</w:t>
      </w:r>
      <w:r w:rsidR="00D67026" w:rsidRPr="00D67026">
        <w:rPr>
          <w:rFonts w:ascii="Arial" w:hAnsi="Arial" w:cs="Arial"/>
          <w:szCs w:val="20"/>
        </w:rPr>
        <w:t xml:space="preserve"> εντός </w:t>
      </w:r>
      <w:r w:rsidR="00DD4DA6">
        <w:rPr>
          <w:rFonts w:ascii="Arial" w:hAnsi="Arial" w:cs="Arial"/>
          <w:szCs w:val="20"/>
        </w:rPr>
        <w:t>του σπιτιού</w:t>
      </w:r>
      <w:r w:rsidR="00D67026" w:rsidRPr="00D67026">
        <w:rPr>
          <w:rFonts w:ascii="Arial" w:hAnsi="Arial" w:cs="Arial"/>
          <w:szCs w:val="20"/>
        </w:rPr>
        <w:t xml:space="preserve">, </w:t>
      </w:r>
      <w:r w:rsidR="00DD4DA6">
        <w:rPr>
          <w:rFonts w:ascii="Arial" w:hAnsi="Arial" w:cs="Arial"/>
          <w:szCs w:val="20"/>
        </w:rPr>
        <w:t>ενισχύοντας</w:t>
      </w:r>
      <w:r w:rsidR="00D67026" w:rsidRPr="00D67026">
        <w:rPr>
          <w:rFonts w:ascii="Arial" w:hAnsi="Arial" w:cs="Arial"/>
          <w:szCs w:val="20"/>
        </w:rPr>
        <w:t xml:space="preserve"> περαιτέρω τη διαφοροποίησή μας και την εμπειρία πελάτη</w:t>
      </w:r>
      <w:r w:rsidR="00DD4DA6">
        <w:rPr>
          <w:rFonts w:ascii="Arial" w:hAnsi="Arial" w:cs="Arial"/>
          <w:szCs w:val="20"/>
        </w:rPr>
        <w:t>.</w:t>
      </w:r>
      <w:r w:rsidR="008F7F1B">
        <w:rPr>
          <w:rFonts w:ascii="Arial" w:hAnsi="Arial" w:cs="Arial"/>
          <w:szCs w:val="20"/>
        </w:rPr>
        <w:t xml:space="preserve"> </w:t>
      </w:r>
      <w:r w:rsidR="00012B94">
        <w:rPr>
          <w:rFonts w:ascii="Arial" w:hAnsi="Arial" w:cs="Arial"/>
          <w:szCs w:val="20"/>
        </w:rPr>
        <w:t>Η κινητή</w:t>
      </w:r>
      <w:r w:rsidR="00012B94" w:rsidRPr="00012B94">
        <w:rPr>
          <w:rFonts w:ascii="Arial" w:hAnsi="Arial" w:cs="Arial"/>
          <w:szCs w:val="20"/>
        </w:rPr>
        <w:t xml:space="preserve"> διατήρησε την </w:t>
      </w:r>
      <w:r w:rsidR="00012B94">
        <w:rPr>
          <w:rFonts w:ascii="Arial" w:hAnsi="Arial" w:cs="Arial"/>
          <w:szCs w:val="20"/>
        </w:rPr>
        <w:t>ισχυρή δυναμική</w:t>
      </w:r>
      <w:r w:rsidR="00AF1C9C">
        <w:rPr>
          <w:rFonts w:ascii="Arial" w:hAnsi="Arial" w:cs="Arial"/>
          <w:szCs w:val="20"/>
        </w:rPr>
        <w:t xml:space="preserve"> της</w:t>
      </w:r>
      <w:r w:rsidR="00890B54">
        <w:rPr>
          <w:rFonts w:ascii="Arial" w:hAnsi="Arial" w:cs="Arial"/>
          <w:szCs w:val="20"/>
        </w:rPr>
        <w:t>,</w:t>
      </w:r>
      <w:r w:rsidR="00012B94">
        <w:rPr>
          <w:rFonts w:ascii="Arial" w:hAnsi="Arial" w:cs="Arial"/>
          <w:szCs w:val="20"/>
        </w:rPr>
        <w:t xml:space="preserve"> </w:t>
      </w:r>
      <w:r w:rsidR="008F7F1B">
        <w:rPr>
          <w:rFonts w:ascii="Arial" w:hAnsi="Arial" w:cs="Arial"/>
          <w:szCs w:val="20"/>
        </w:rPr>
        <w:t>καθώς οι π</w:t>
      </w:r>
      <w:r w:rsidR="008F7F1B" w:rsidRPr="008F7F1B">
        <w:rPr>
          <w:rFonts w:ascii="Arial" w:hAnsi="Arial" w:cs="Arial"/>
          <w:szCs w:val="20"/>
        </w:rPr>
        <w:t xml:space="preserve">ελάτες </w:t>
      </w:r>
      <w:r w:rsidR="008F7F1B" w:rsidRPr="008F7F1B">
        <w:rPr>
          <w:rFonts w:ascii="Arial" w:hAnsi="Arial" w:cs="Arial"/>
          <w:szCs w:val="20"/>
        </w:rPr>
        <w:lastRenderedPageBreak/>
        <w:t xml:space="preserve">συνεχίζουν να </w:t>
      </w:r>
      <w:r w:rsidR="005C3F53">
        <w:rPr>
          <w:rFonts w:ascii="Arial" w:hAnsi="Arial" w:cs="Arial"/>
          <w:szCs w:val="20"/>
        </w:rPr>
        <w:t>μεταβαίνουν</w:t>
      </w:r>
      <w:r w:rsidR="008F7F1B" w:rsidRPr="008F7F1B">
        <w:rPr>
          <w:rFonts w:ascii="Arial" w:hAnsi="Arial" w:cs="Arial"/>
          <w:szCs w:val="20"/>
        </w:rPr>
        <w:t xml:space="preserve"> </w:t>
      </w:r>
      <w:r w:rsidR="005C3F53">
        <w:rPr>
          <w:rFonts w:ascii="Arial" w:hAnsi="Arial" w:cs="Arial"/>
          <w:szCs w:val="20"/>
        </w:rPr>
        <w:t>σε</w:t>
      </w:r>
      <w:r w:rsidR="008F7F1B" w:rsidRPr="008F7F1B">
        <w:rPr>
          <w:rFonts w:ascii="Arial" w:hAnsi="Arial" w:cs="Arial"/>
          <w:szCs w:val="20"/>
        </w:rPr>
        <w:t xml:space="preserve"> προγράμματα συμβολαίου και σε πακέτα δεδομένων υψηλότερης </w:t>
      </w:r>
      <w:r w:rsidR="008F7F1B" w:rsidRPr="007301EC">
        <w:rPr>
          <w:rFonts w:ascii="Arial" w:hAnsi="Arial" w:cs="Arial"/>
          <w:szCs w:val="20"/>
        </w:rPr>
        <w:t>αξίας</w:t>
      </w:r>
      <w:r w:rsidR="00F83A2F" w:rsidRPr="007301EC">
        <w:rPr>
          <w:rFonts w:ascii="Arial" w:hAnsi="Arial" w:cs="Arial"/>
          <w:szCs w:val="20"/>
        </w:rPr>
        <w:t>.</w:t>
      </w:r>
      <w:r w:rsidR="00AF1C9C" w:rsidRPr="007301EC">
        <w:rPr>
          <w:rFonts w:ascii="Arial" w:hAnsi="Arial" w:cs="Arial"/>
          <w:szCs w:val="20"/>
        </w:rPr>
        <w:t xml:space="preserve"> </w:t>
      </w:r>
      <w:r w:rsidR="00890B54">
        <w:rPr>
          <w:rFonts w:ascii="Arial" w:hAnsi="Arial" w:cs="Arial"/>
          <w:szCs w:val="20"/>
        </w:rPr>
        <w:t>Το</w:t>
      </w:r>
      <w:r w:rsidR="00AF1C9C" w:rsidRPr="00FD6CB4">
        <w:rPr>
          <w:rFonts w:ascii="Arial" w:hAnsi="Arial" w:cs="Arial"/>
          <w:szCs w:val="20"/>
        </w:rPr>
        <w:t xml:space="preserve"> ICT κατέγραψε ισχυρή ανάπτυξη, </w:t>
      </w:r>
      <w:r w:rsidR="00EC30BE">
        <w:rPr>
          <w:rFonts w:ascii="Arial" w:hAnsi="Arial" w:cs="Arial"/>
          <w:szCs w:val="20"/>
        </w:rPr>
        <w:t>ενώ</w:t>
      </w:r>
      <w:r w:rsidR="00D84043">
        <w:rPr>
          <w:rFonts w:ascii="Arial" w:hAnsi="Arial" w:cs="Arial"/>
          <w:szCs w:val="20"/>
        </w:rPr>
        <w:t xml:space="preserve"> ο </w:t>
      </w:r>
      <w:r w:rsidR="00127191">
        <w:rPr>
          <w:rFonts w:ascii="Arial" w:hAnsi="Arial" w:cs="Arial"/>
          <w:szCs w:val="20"/>
        </w:rPr>
        <w:t>τομέας του</w:t>
      </w:r>
      <w:r w:rsidR="00D84043" w:rsidRPr="00FD6CB4">
        <w:rPr>
          <w:rFonts w:ascii="Arial" w:hAnsi="Arial" w:cs="Arial"/>
          <w:szCs w:val="20"/>
        </w:rPr>
        <w:t xml:space="preserve"> </w:t>
      </w:r>
      <w:r w:rsidR="00127191">
        <w:rPr>
          <w:rFonts w:ascii="Arial" w:hAnsi="Arial" w:cs="Arial"/>
          <w:szCs w:val="20"/>
          <w:lang w:val="en-US"/>
        </w:rPr>
        <w:t>B</w:t>
      </w:r>
      <w:r w:rsidR="00127191" w:rsidRPr="00EE58D6">
        <w:rPr>
          <w:rFonts w:ascii="Arial" w:hAnsi="Arial" w:cs="Arial"/>
          <w:szCs w:val="20"/>
        </w:rPr>
        <w:t>2</w:t>
      </w:r>
      <w:r w:rsidR="00127191">
        <w:rPr>
          <w:rFonts w:ascii="Arial" w:hAnsi="Arial" w:cs="Arial"/>
          <w:szCs w:val="20"/>
          <w:lang w:val="en-US"/>
        </w:rPr>
        <w:t>B</w:t>
      </w:r>
      <w:r w:rsidR="00127191" w:rsidRPr="00FD6CB4">
        <w:rPr>
          <w:rFonts w:ascii="Arial" w:hAnsi="Arial" w:cs="Arial"/>
          <w:szCs w:val="20"/>
        </w:rPr>
        <w:t xml:space="preserve"> </w:t>
      </w:r>
      <w:r w:rsidR="00127191">
        <w:rPr>
          <w:rFonts w:ascii="Arial" w:hAnsi="Arial" w:cs="Arial"/>
          <w:szCs w:val="20"/>
        </w:rPr>
        <w:t>αναμένεται να επωφεληθεί από τ</w:t>
      </w:r>
      <w:r w:rsidR="00AF1C9C" w:rsidRPr="00FD6CB4">
        <w:rPr>
          <w:rFonts w:ascii="Arial" w:hAnsi="Arial" w:cs="Arial"/>
          <w:szCs w:val="20"/>
        </w:rPr>
        <w:t xml:space="preserve">η διάθεση </w:t>
      </w:r>
      <w:r w:rsidR="00C97ACC" w:rsidRPr="00FD6CB4">
        <w:rPr>
          <w:rFonts w:ascii="Arial" w:hAnsi="Arial" w:cs="Arial"/>
          <w:szCs w:val="20"/>
        </w:rPr>
        <w:t xml:space="preserve">κατά </w:t>
      </w:r>
      <w:r w:rsidR="00C97ACC">
        <w:rPr>
          <w:rFonts w:ascii="Arial" w:hAnsi="Arial" w:cs="Arial"/>
          <w:szCs w:val="20"/>
        </w:rPr>
        <w:t>το τρίμηνο</w:t>
      </w:r>
      <w:r w:rsidR="00C97ACC" w:rsidRPr="00FD6CB4" w:rsidDel="00127191">
        <w:rPr>
          <w:rFonts w:ascii="Arial" w:hAnsi="Arial" w:cs="Arial"/>
          <w:szCs w:val="20"/>
        </w:rPr>
        <w:t xml:space="preserve"> </w:t>
      </w:r>
      <w:r w:rsidR="00AF1C9C" w:rsidRPr="00FD6CB4">
        <w:rPr>
          <w:rFonts w:ascii="Arial" w:hAnsi="Arial" w:cs="Arial"/>
          <w:szCs w:val="20"/>
        </w:rPr>
        <w:t>υπηρεσιών Business Cloud</w:t>
      </w:r>
      <w:r w:rsidR="00127191">
        <w:rPr>
          <w:rFonts w:ascii="Arial" w:hAnsi="Arial" w:cs="Arial"/>
          <w:szCs w:val="20"/>
        </w:rPr>
        <w:t xml:space="preserve">, που δίνουν ώθηση </w:t>
      </w:r>
      <w:r w:rsidR="00C07651">
        <w:rPr>
          <w:rFonts w:ascii="Arial" w:hAnsi="Arial" w:cs="Arial"/>
          <w:szCs w:val="20"/>
        </w:rPr>
        <w:t xml:space="preserve">στην </w:t>
      </w:r>
      <w:r w:rsidR="00EE58D6" w:rsidRPr="00EE58D6">
        <w:rPr>
          <w:rFonts w:ascii="Arial" w:hAnsi="Arial" w:cs="Arial"/>
          <w:szCs w:val="20"/>
        </w:rPr>
        <w:t xml:space="preserve">υιοθέτηση </w:t>
      </w:r>
      <w:r w:rsidR="00C07651">
        <w:rPr>
          <w:rFonts w:ascii="Arial" w:hAnsi="Arial" w:cs="Arial"/>
          <w:szCs w:val="20"/>
        </w:rPr>
        <w:t>της</w:t>
      </w:r>
      <w:r w:rsidR="00C07651" w:rsidRPr="00EE58D6">
        <w:rPr>
          <w:rFonts w:ascii="Arial" w:hAnsi="Arial" w:cs="Arial"/>
          <w:szCs w:val="20"/>
        </w:rPr>
        <w:t xml:space="preserve"> </w:t>
      </w:r>
      <w:r w:rsidR="00EE58D6" w:rsidRPr="00EE58D6">
        <w:rPr>
          <w:rFonts w:ascii="Arial" w:hAnsi="Arial" w:cs="Arial"/>
          <w:szCs w:val="20"/>
        </w:rPr>
        <w:t>τεχνητής νοημοσύνης</w:t>
      </w:r>
      <w:r w:rsidR="00C07651">
        <w:rPr>
          <w:rFonts w:ascii="Arial" w:hAnsi="Arial" w:cs="Arial"/>
          <w:szCs w:val="20"/>
        </w:rPr>
        <w:t xml:space="preserve"> από τις επιχειρήσεις</w:t>
      </w:r>
      <w:r w:rsidR="00AF1C9C" w:rsidRPr="00FD6CB4">
        <w:rPr>
          <w:rFonts w:ascii="Arial" w:hAnsi="Arial" w:cs="Arial"/>
          <w:szCs w:val="20"/>
        </w:rPr>
        <w:t>.</w:t>
      </w:r>
      <w:r w:rsidR="009B7E86" w:rsidRPr="009B7E86">
        <w:t xml:space="preserve"> </w:t>
      </w:r>
    </w:p>
    <w:p w14:paraId="61D806B0" w14:textId="3BD58C1A" w:rsidR="004C34EC" w:rsidRDefault="009B7E86" w:rsidP="00AF1C9C">
      <w:pPr>
        <w:spacing w:line="276" w:lineRule="auto"/>
        <w:jc w:val="both"/>
        <w:rPr>
          <w:rFonts w:ascii="Arial" w:hAnsi="Arial" w:cs="Arial"/>
          <w:szCs w:val="20"/>
        </w:rPr>
      </w:pPr>
      <w:r w:rsidRPr="00210BCE">
        <w:rPr>
          <w:rFonts w:ascii="Arial" w:hAnsi="Arial" w:cs="Arial"/>
          <w:szCs w:val="20"/>
        </w:rPr>
        <w:t>Κ</w:t>
      </w:r>
      <w:r w:rsidRPr="009B7E86">
        <w:rPr>
          <w:rFonts w:ascii="Arial" w:hAnsi="Arial" w:cs="Arial"/>
          <w:szCs w:val="20"/>
        </w:rPr>
        <w:t>οιτ</w:t>
      </w:r>
      <w:r w:rsidR="00890B54">
        <w:rPr>
          <w:rFonts w:ascii="Arial" w:hAnsi="Arial" w:cs="Arial"/>
          <w:szCs w:val="20"/>
        </w:rPr>
        <w:t>ώντας μπροστά</w:t>
      </w:r>
      <w:r w:rsidRPr="009B7E86">
        <w:rPr>
          <w:rFonts w:ascii="Arial" w:hAnsi="Arial" w:cs="Arial"/>
          <w:szCs w:val="20"/>
        </w:rPr>
        <w:t xml:space="preserve">, παραμένουμε </w:t>
      </w:r>
      <w:r w:rsidR="005129CB">
        <w:rPr>
          <w:rFonts w:ascii="Arial" w:hAnsi="Arial" w:cs="Arial"/>
          <w:szCs w:val="20"/>
        </w:rPr>
        <w:t xml:space="preserve">επικεντρωμένοι </w:t>
      </w:r>
      <w:r w:rsidR="00D14BC9">
        <w:rPr>
          <w:rFonts w:ascii="Arial" w:hAnsi="Arial" w:cs="Arial"/>
          <w:szCs w:val="20"/>
        </w:rPr>
        <w:t>στην</w:t>
      </w:r>
      <w:r w:rsidRPr="009B7E86" w:rsidDel="00D14BC9">
        <w:rPr>
          <w:rFonts w:ascii="Arial" w:hAnsi="Arial" w:cs="Arial"/>
          <w:szCs w:val="20"/>
        </w:rPr>
        <w:t xml:space="preserve"> </w:t>
      </w:r>
      <w:r w:rsidRPr="009B7E86">
        <w:rPr>
          <w:rFonts w:ascii="Arial" w:hAnsi="Arial" w:cs="Arial"/>
          <w:szCs w:val="20"/>
        </w:rPr>
        <w:t xml:space="preserve">υλοποίηση της στρατηγικής μας, αξιοποιώντας </w:t>
      </w:r>
      <w:r w:rsidR="00B43C05">
        <w:rPr>
          <w:rFonts w:ascii="Arial" w:hAnsi="Arial" w:cs="Arial"/>
          <w:szCs w:val="20"/>
        </w:rPr>
        <w:t xml:space="preserve">τον </w:t>
      </w:r>
      <w:r w:rsidRPr="009B7E86">
        <w:rPr>
          <w:rFonts w:ascii="Arial" w:hAnsi="Arial" w:cs="Arial"/>
          <w:szCs w:val="20"/>
        </w:rPr>
        <w:t xml:space="preserve">μετασχηματισμό του λειτουργικού μας μοντέλου και τη δύναμη του Ομίλου TELEKOM </w:t>
      </w:r>
      <w:r w:rsidR="007A2314">
        <w:rPr>
          <w:rFonts w:ascii="Arial" w:hAnsi="Arial" w:cs="Arial"/>
          <w:szCs w:val="20"/>
        </w:rPr>
        <w:t>για να επιτύχουμε</w:t>
      </w:r>
      <w:r w:rsidRPr="009B7E86">
        <w:rPr>
          <w:rFonts w:ascii="Arial" w:hAnsi="Arial" w:cs="Arial"/>
          <w:szCs w:val="20"/>
        </w:rPr>
        <w:t xml:space="preserve"> περαιτέρω ανάπτυξη, επιτάχυνση του ψηφιακού μετασχηματισμού</w:t>
      </w:r>
      <w:r w:rsidR="007A2314">
        <w:rPr>
          <w:rFonts w:ascii="Arial" w:hAnsi="Arial" w:cs="Arial"/>
          <w:szCs w:val="20"/>
        </w:rPr>
        <w:t xml:space="preserve"> της χώρας</w:t>
      </w:r>
      <w:r w:rsidRPr="009B7E86">
        <w:rPr>
          <w:rFonts w:ascii="Arial" w:hAnsi="Arial" w:cs="Arial"/>
          <w:szCs w:val="20"/>
        </w:rPr>
        <w:t xml:space="preserve"> και ενίσχυση της θέσης της Ελλάδας στον διεθνή χάρτη συνδεσιμότητας. </w:t>
      </w:r>
      <w:r w:rsidR="00EC30BE">
        <w:rPr>
          <w:rFonts w:ascii="Arial" w:hAnsi="Arial" w:cs="Arial"/>
          <w:szCs w:val="20"/>
        </w:rPr>
        <w:t>Είμαστε</w:t>
      </w:r>
      <w:r w:rsidR="001721EA" w:rsidRPr="001721EA">
        <w:rPr>
          <w:rFonts w:ascii="Arial" w:hAnsi="Arial" w:cs="Arial"/>
          <w:szCs w:val="20"/>
        </w:rPr>
        <w:t xml:space="preserve"> βέβαιοι ότι θα επιτύχουμε τους στόχους μας για το 2026 και θα δημιουργήσουμε βιώσιμη ανάπτυξη και μακροπρόθεσμη αξία για τους μετόχους και τα ενδιαφερόμενα μέρη μας.»</w:t>
      </w:r>
    </w:p>
    <w:p w14:paraId="1CA64157" w14:textId="77777777" w:rsidR="004C34EC" w:rsidRPr="00EC30BE" w:rsidRDefault="004C34EC" w:rsidP="00AF1C9C">
      <w:pPr>
        <w:spacing w:line="276" w:lineRule="auto"/>
        <w:jc w:val="both"/>
        <w:rPr>
          <w:rFonts w:ascii="Arial" w:hAnsi="Arial" w:cs="Arial"/>
          <w:szCs w:val="20"/>
        </w:rPr>
      </w:pPr>
    </w:p>
    <w:bookmarkEnd w:id="0"/>
    <w:bookmarkEnd w:id="1"/>
    <w:p w14:paraId="42AB3E43" w14:textId="1D533FE0" w:rsidR="00A565B0" w:rsidRPr="00FB20CB" w:rsidRDefault="00A565B0" w:rsidP="005376F7">
      <w:pPr>
        <w:pStyle w:val="Tittle2"/>
        <w:rPr>
          <w:rFonts w:cs="Arial"/>
          <w:b w:val="0"/>
          <w:szCs w:val="24"/>
          <w:lang w:val="el-GR"/>
        </w:rPr>
      </w:pPr>
      <w:r w:rsidRPr="00FB20CB">
        <w:rPr>
          <w:rFonts w:cs="Arial"/>
          <w:lang w:val="el-GR"/>
        </w:rPr>
        <w:t>Π</w:t>
      </w:r>
      <w:r w:rsidR="00166824" w:rsidRPr="00FB20CB">
        <w:rPr>
          <w:rFonts w:cs="Arial"/>
          <w:caps/>
          <w:lang w:val="el-GR"/>
        </w:rPr>
        <w:t>ΡΟΟΠΤΙΚΕΣ</w:t>
      </w:r>
    </w:p>
    <w:p w14:paraId="610A5E64" w14:textId="543414B1" w:rsidR="00F93B1C" w:rsidRPr="00384DDC" w:rsidRDefault="00A76768" w:rsidP="00B33BC4">
      <w:pPr>
        <w:pStyle w:val="Default"/>
        <w:spacing w:line="276" w:lineRule="auto"/>
        <w:jc w:val="both"/>
        <w:rPr>
          <w:rFonts w:ascii="Arial" w:eastAsiaTheme="minorHAnsi" w:hAnsi="Arial" w:cs="Arial"/>
          <w:sz w:val="22"/>
          <w:szCs w:val="22"/>
        </w:rPr>
      </w:pPr>
      <w:r w:rsidRPr="00A76768">
        <w:rPr>
          <w:rFonts w:ascii="Arial" w:eastAsiaTheme="minorHAnsi" w:hAnsi="Arial" w:cs="Arial"/>
          <w:color w:val="auto"/>
          <w:sz w:val="22"/>
          <w:szCs w:val="20"/>
          <w:lang w:eastAsia="en-US"/>
        </w:rPr>
        <w:t xml:space="preserve">Παρά </w:t>
      </w:r>
      <w:r>
        <w:rPr>
          <w:rFonts w:ascii="Arial" w:eastAsiaTheme="minorHAnsi" w:hAnsi="Arial" w:cs="Arial"/>
          <w:color w:val="auto"/>
          <w:sz w:val="22"/>
          <w:szCs w:val="20"/>
          <w:lang w:eastAsia="en-US"/>
        </w:rPr>
        <w:t>τις</w:t>
      </w:r>
      <w:r w:rsidRPr="00A76768">
        <w:rPr>
          <w:rFonts w:ascii="Arial" w:eastAsiaTheme="minorHAnsi" w:hAnsi="Arial" w:cs="Arial"/>
          <w:color w:val="auto"/>
          <w:sz w:val="22"/>
          <w:szCs w:val="20"/>
          <w:lang w:eastAsia="en-US"/>
        </w:rPr>
        <w:t xml:space="preserve"> διεθν</w:t>
      </w:r>
      <w:r>
        <w:rPr>
          <w:rFonts w:ascii="Arial" w:eastAsiaTheme="minorHAnsi" w:hAnsi="Arial" w:cs="Arial"/>
          <w:color w:val="auto"/>
          <w:sz w:val="22"/>
          <w:szCs w:val="20"/>
          <w:lang w:eastAsia="en-US"/>
        </w:rPr>
        <w:t xml:space="preserve">είς προκλήσεις και τον </w:t>
      </w:r>
      <w:r w:rsidR="00333B0F">
        <w:rPr>
          <w:rFonts w:ascii="Arial" w:eastAsiaTheme="minorHAnsi" w:hAnsi="Arial" w:cs="Arial"/>
          <w:color w:val="auto"/>
          <w:sz w:val="22"/>
          <w:szCs w:val="20"/>
          <w:lang w:eastAsia="en-US"/>
        </w:rPr>
        <w:t>έ</w:t>
      </w:r>
      <w:r>
        <w:rPr>
          <w:rFonts w:ascii="Arial" w:eastAsiaTheme="minorHAnsi" w:hAnsi="Arial" w:cs="Arial"/>
          <w:color w:val="auto"/>
          <w:sz w:val="22"/>
          <w:szCs w:val="20"/>
          <w:lang w:eastAsia="en-US"/>
        </w:rPr>
        <w:t>ντ</w:t>
      </w:r>
      <w:r w:rsidR="00333B0F">
        <w:rPr>
          <w:rFonts w:ascii="Arial" w:eastAsiaTheme="minorHAnsi" w:hAnsi="Arial" w:cs="Arial"/>
          <w:color w:val="auto"/>
          <w:sz w:val="22"/>
          <w:szCs w:val="20"/>
          <w:lang w:eastAsia="en-US"/>
        </w:rPr>
        <w:t>ονο</w:t>
      </w:r>
      <w:r>
        <w:rPr>
          <w:rFonts w:ascii="Arial" w:eastAsiaTheme="minorHAnsi" w:hAnsi="Arial" w:cs="Arial"/>
          <w:color w:val="auto"/>
          <w:sz w:val="22"/>
          <w:szCs w:val="20"/>
          <w:lang w:eastAsia="en-US"/>
        </w:rPr>
        <w:t xml:space="preserve"> ανταγωνισμό στην Ελλάδα, </w:t>
      </w:r>
      <w:r w:rsidRPr="00A76768">
        <w:rPr>
          <w:rFonts w:ascii="Arial" w:eastAsiaTheme="minorHAnsi" w:hAnsi="Arial" w:cs="Arial"/>
          <w:color w:val="auto"/>
          <w:sz w:val="22"/>
          <w:szCs w:val="20"/>
          <w:lang w:eastAsia="en-US"/>
        </w:rPr>
        <w:t>ο ΟΤΕ</w:t>
      </w:r>
      <w:r w:rsidRPr="00966C4E">
        <w:rPr>
          <w:rFonts w:ascii="Arial" w:eastAsiaTheme="minorHAnsi" w:hAnsi="Arial" w:cs="Arial"/>
          <w:color w:val="auto"/>
          <w:sz w:val="22"/>
          <w:szCs w:val="20"/>
          <w:lang w:eastAsia="en-US"/>
        </w:rPr>
        <w:t xml:space="preserve"> </w:t>
      </w:r>
      <w:r w:rsidR="001F2DB7" w:rsidRPr="001F2DB7">
        <w:rPr>
          <w:rFonts w:ascii="Arial" w:eastAsiaTheme="minorHAnsi" w:hAnsi="Arial" w:cs="Arial"/>
          <w:color w:val="auto"/>
          <w:sz w:val="22"/>
          <w:szCs w:val="20"/>
          <w:lang w:eastAsia="en-US"/>
        </w:rPr>
        <w:t xml:space="preserve">διαθέτει όλα τα εχέγγυα </w:t>
      </w:r>
      <w:r w:rsidR="00DF53A3">
        <w:rPr>
          <w:rFonts w:ascii="Arial" w:eastAsiaTheme="minorHAnsi" w:hAnsi="Arial" w:cs="Arial"/>
          <w:color w:val="auto"/>
          <w:sz w:val="22"/>
          <w:szCs w:val="20"/>
          <w:lang w:eastAsia="en-US"/>
        </w:rPr>
        <w:t xml:space="preserve">για </w:t>
      </w:r>
      <w:r w:rsidR="001F2DB7">
        <w:rPr>
          <w:rFonts w:ascii="Arial" w:eastAsiaTheme="minorHAnsi" w:hAnsi="Arial" w:cs="Arial"/>
          <w:color w:val="auto"/>
          <w:sz w:val="22"/>
          <w:szCs w:val="20"/>
          <w:lang w:eastAsia="en-US"/>
        </w:rPr>
        <w:t>να</w:t>
      </w:r>
      <w:r w:rsidR="00333B0F" w:rsidRPr="00966C4E">
        <w:rPr>
          <w:rFonts w:ascii="Arial" w:eastAsiaTheme="minorHAnsi" w:hAnsi="Arial" w:cs="Arial"/>
          <w:color w:val="auto"/>
          <w:sz w:val="22"/>
          <w:szCs w:val="20"/>
          <w:lang w:eastAsia="en-US"/>
        </w:rPr>
        <w:t xml:space="preserve"> συνεχίσει </w:t>
      </w:r>
      <w:r w:rsidR="004528CE">
        <w:rPr>
          <w:rFonts w:ascii="Arial" w:eastAsiaTheme="minorHAnsi" w:hAnsi="Arial" w:cs="Arial"/>
          <w:color w:val="auto"/>
          <w:sz w:val="22"/>
          <w:szCs w:val="20"/>
          <w:lang w:eastAsia="en-US"/>
        </w:rPr>
        <w:t xml:space="preserve">τον </w:t>
      </w:r>
      <w:r w:rsidR="00333B0F" w:rsidRPr="00966C4E">
        <w:rPr>
          <w:rFonts w:ascii="Arial" w:eastAsiaTheme="minorHAnsi" w:hAnsi="Arial" w:cs="Arial"/>
          <w:color w:val="auto"/>
          <w:sz w:val="22"/>
          <w:szCs w:val="20"/>
          <w:lang w:eastAsia="en-US"/>
        </w:rPr>
        <w:t>μετασχηματισμ</w:t>
      </w:r>
      <w:r w:rsidR="004528CE">
        <w:rPr>
          <w:rFonts w:ascii="Arial" w:eastAsiaTheme="minorHAnsi" w:hAnsi="Arial" w:cs="Arial"/>
          <w:color w:val="auto"/>
          <w:sz w:val="22"/>
          <w:szCs w:val="20"/>
          <w:lang w:eastAsia="en-US"/>
        </w:rPr>
        <w:t>ό</w:t>
      </w:r>
      <w:r w:rsidR="00333B0F" w:rsidRPr="00966C4E">
        <w:rPr>
          <w:rFonts w:ascii="Arial" w:eastAsiaTheme="minorHAnsi" w:hAnsi="Arial" w:cs="Arial"/>
          <w:color w:val="auto"/>
          <w:sz w:val="22"/>
          <w:szCs w:val="20"/>
          <w:lang w:eastAsia="en-US"/>
        </w:rPr>
        <w:t xml:space="preserve"> του και να πετύχει τους οικονομικούς του στόχους.</w:t>
      </w:r>
      <w:r>
        <w:rPr>
          <w:rFonts w:ascii="Arial" w:eastAsiaTheme="minorHAnsi" w:hAnsi="Arial" w:cs="Arial"/>
          <w:color w:val="auto"/>
          <w:sz w:val="22"/>
          <w:szCs w:val="20"/>
          <w:lang w:eastAsia="en-US"/>
        </w:rPr>
        <w:t xml:space="preserve"> Η </w:t>
      </w:r>
      <w:r w:rsidRPr="00A76768">
        <w:rPr>
          <w:rFonts w:ascii="Arial" w:eastAsiaTheme="minorHAnsi" w:hAnsi="Arial" w:cs="Arial"/>
          <w:color w:val="auto"/>
          <w:sz w:val="22"/>
          <w:szCs w:val="20"/>
          <w:lang w:eastAsia="en-US"/>
        </w:rPr>
        <w:t>ηγετική θέση του ΟΤΕ στ</w:t>
      </w:r>
      <w:r w:rsidR="00627504">
        <w:rPr>
          <w:rFonts w:ascii="Arial" w:eastAsiaTheme="minorHAnsi" w:hAnsi="Arial" w:cs="Arial"/>
          <w:color w:val="auto"/>
          <w:sz w:val="22"/>
          <w:szCs w:val="20"/>
          <w:lang w:eastAsia="en-US"/>
        </w:rPr>
        <w:t>ο</w:t>
      </w:r>
      <w:r w:rsidRPr="00A76768">
        <w:rPr>
          <w:rFonts w:ascii="Arial" w:eastAsiaTheme="minorHAnsi" w:hAnsi="Arial" w:cs="Arial"/>
          <w:color w:val="auto"/>
          <w:sz w:val="22"/>
          <w:szCs w:val="20"/>
          <w:lang w:eastAsia="en-US"/>
        </w:rPr>
        <w:t xml:space="preserve"> </w:t>
      </w:r>
      <w:r>
        <w:rPr>
          <w:rFonts w:ascii="Arial" w:eastAsiaTheme="minorHAnsi" w:hAnsi="Arial" w:cs="Arial"/>
          <w:color w:val="auto"/>
          <w:sz w:val="22"/>
          <w:szCs w:val="20"/>
          <w:lang w:eastAsia="en-US"/>
        </w:rPr>
        <w:t>δίκτυο</w:t>
      </w:r>
      <w:r w:rsidRPr="00A76768">
        <w:rPr>
          <w:rFonts w:ascii="Arial" w:eastAsiaTheme="minorHAnsi" w:hAnsi="Arial" w:cs="Arial"/>
          <w:color w:val="auto"/>
          <w:sz w:val="22"/>
          <w:szCs w:val="20"/>
          <w:lang w:eastAsia="en-US"/>
        </w:rPr>
        <w:t xml:space="preserve"> οπτικών ινών, στο δίκτυο κινητής, </w:t>
      </w:r>
      <w:r w:rsidR="00A50873">
        <w:rPr>
          <w:rFonts w:ascii="Arial" w:eastAsiaTheme="minorHAnsi" w:hAnsi="Arial" w:cs="Arial"/>
          <w:color w:val="auto"/>
          <w:sz w:val="22"/>
          <w:szCs w:val="20"/>
          <w:lang w:eastAsia="en-US"/>
        </w:rPr>
        <w:t>σ</w:t>
      </w:r>
      <w:r>
        <w:rPr>
          <w:rFonts w:ascii="Arial" w:eastAsiaTheme="minorHAnsi" w:hAnsi="Arial" w:cs="Arial"/>
          <w:color w:val="auto"/>
          <w:sz w:val="22"/>
          <w:szCs w:val="20"/>
          <w:lang w:eastAsia="en-US"/>
        </w:rPr>
        <w:t>την τηλεόραση</w:t>
      </w:r>
      <w:r w:rsidR="00A50873">
        <w:rPr>
          <w:rFonts w:ascii="Arial" w:eastAsiaTheme="minorHAnsi" w:hAnsi="Arial" w:cs="Arial"/>
          <w:color w:val="auto"/>
          <w:sz w:val="22"/>
          <w:szCs w:val="20"/>
          <w:lang w:eastAsia="en-US"/>
        </w:rPr>
        <w:t xml:space="preserve"> και</w:t>
      </w:r>
      <w:r w:rsidR="00A061DC">
        <w:rPr>
          <w:rFonts w:ascii="Arial" w:eastAsiaTheme="minorHAnsi" w:hAnsi="Arial" w:cs="Arial"/>
          <w:color w:val="auto"/>
          <w:sz w:val="22"/>
          <w:szCs w:val="20"/>
          <w:lang w:eastAsia="en-US"/>
        </w:rPr>
        <w:t xml:space="preserve"> </w:t>
      </w:r>
      <w:r w:rsidR="00A50873">
        <w:rPr>
          <w:rFonts w:ascii="Arial" w:eastAsiaTheme="minorHAnsi" w:hAnsi="Arial" w:cs="Arial"/>
          <w:color w:val="auto"/>
          <w:sz w:val="22"/>
          <w:szCs w:val="20"/>
          <w:lang w:eastAsia="en-US"/>
        </w:rPr>
        <w:t>σ</w:t>
      </w:r>
      <w:r>
        <w:rPr>
          <w:rFonts w:ascii="Arial" w:eastAsiaTheme="minorHAnsi" w:hAnsi="Arial" w:cs="Arial"/>
          <w:color w:val="auto"/>
          <w:sz w:val="22"/>
          <w:szCs w:val="20"/>
          <w:lang w:eastAsia="en-US"/>
        </w:rPr>
        <w:t xml:space="preserve">το </w:t>
      </w:r>
      <w:r w:rsidRPr="00A76768">
        <w:rPr>
          <w:rFonts w:ascii="Arial" w:eastAsiaTheme="minorHAnsi" w:hAnsi="Arial" w:cs="Arial"/>
          <w:color w:val="auto"/>
          <w:sz w:val="22"/>
          <w:szCs w:val="20"/>
          <w:lang w:eastAsia="en-US"/>
        </w:rPr>
        <w:t>ICT</w:t>
      </w:r>
      <w:r w:rsidR="003E093D">
        <w:rPr>
          <w:rFonts w:ascii="Arial" w:eastAsiaTheme="minorHAnsi" w:hAnsi="Arial" w:cs="Arial"/>
          <w:color w:val="auto"/>
          <w:sz w:val="22"/>
          <w:szCs w:val="20"/>
          <w:lang w:eastAsia="en-US"/>
        </w:rPr>
        <w:t>, καθώς</w:t>
      </w:r>
      <w:r w:rsidRPr="00A76768">
        <w:rPr>
          <w:rFonts w:ascii="Arial" w:eastAsiaTheme="minorHAnsi" w:hAnsi="Arial" w:cs="Arial"/>
          <w:color w:val="auto"/>
          <w:sz w:val="22"/>
          <w:szCs w:val="20"/>
          <w:lang w:eastAsia="en-US"/>
        </w:rPr>
        <w:t xml:space="preserve"> και </w:t>
      </w:r>
      <w:r w:rsidR="00A50873">
        <w:rPr>
          <w:rFonts w:ascii="Arial" w:eastAsiaTheme="minorHAnsi" w:hAnsi="Arial" w:cs="Arial"/>
          <w:color w:val="auto"/>
          <w:sz w:val="22"/>
          <w:szCs w:val="20"/>
          <w:lang w:eastAsia="en-US"/>
        </w:rPr>
        <w:t>το</w:t>
      </w:r>
      <w:r w:rsidR="00A061DC">
        <w:rPr>
          <w:rFonts w:ascii="Arial" w:eastAsiaTheme="minorHAnsi" w:hAnsi="Arial" w:cs="Arial"/>
          <w:color w:val="auto"/>
          <w:sz w:val="22"/>
          <w:szCs w:val="20"/>
          <w:lang w:eastAsia="en-US"/>
        </w:rPr>
        <w:t xml:space="preserve"> </w:t>
      </w:r>
      <w:r>
        <w:rPr>
          <w:rFonts w:ascii="Arial" w:eastAsiaTheme="minorHAnsi" w:hAnsi="Arial" w:cs="Arial"/>
          <w:color w:val="auto"/>
          <w:sz w:val="22"/>
          <w:szCs w:val="20"/>
          <w:lang w:eastAsia="en-US"/>
        </w:rPr>
        <w:t>ολοκληρωμένο</w:t>
      </w:r>
      <w:r w:rsidRPr="00A76768">
        <w:rPr>
          <w:rFonts w:ascii="Arial" w:eastAsiaTheme="minorHAnsi" w:hAnsi="Arial" w:cs="Arial"/>
          <w:color w:val="auto"/>
          <w:sz w:val="22"/>
          <w:szCs w:val="20"/>
          <w:lang w:eastAsia="en-US"/>
        </w:rPr>
        <w:t xml:space="preserve"> χαρτοφυλάκιο </w:t>
      </w:r>
      <w:r>
        <w:rPr>
          <w:rFonts w:ascii="Arial" w:eastAsiaTheme="minorHAnsi" w:hAnsi="Arial" w:cs="Arial"/>
          <w:color w:val="auto"/>
          <w:sz w:val="22"/>
          <w:szCs w:val="20"/>
          <w:lang w:val="en-US" w:eastAsia="en-US"/>
        </w:rPr>
        <w:t>non</w:t>
      </w:r>
      <w:r w:rsidRPr="00A76768">
        <w:rPr>
          <w:rFonts w:ascii="Arial" w:eastAsiaTheme="minorHAnsi" w:hAnsi="Arial" w:cs="Arial"/>
          <w:color w:val="auto"/>
          <w:sz w:val="22"/>
          <w:szCs w:val="20"/>
          <w:lang w:eastAsia="en-US"/>
        </w:rPr>
        <w:t>-</w:t>
      </w:r>
      <w:r>
        <w:rPr>
          <w:rFonts w:ascii="Arial" w:eastAsiaTheme="minorHAnsi" w:hAnsi="Arial" w:cs="Arial"/>
          <w:color w:val="auto"/>
          <w:sz w:val="22"/>
          <w:szCs w:val="20"/>
          <w:lang w:val="en-US" w:eastAsia="en-US"/>
        </w:rPr>
        <w:t>core</w:t>
      </w:r>
      <w:r w:rsidRPr="00A76768">
        <w:rPr>
          <w:rFonts w:ascii="Arial" w:eastAsiaTheme="minorHAnsi" w:hAnsi="Arial" w:cs="Arial"/>
          <w:color w:val="auto"/>
          <w:sz w:val="22"/>
          <w:szCs w:val="20"/>
          <w:lang w:eastAsia="en-US"/>
        </w:rPr>
        <w:t xml:space="preserve"> υπηρεσ</w:t>
      </w:r>
      <w:r w:rsidR="00A50873">
        <w:rPr>
          <w:rFonts w:ascii="Arial" w:eastAsiaTheme="minorHAnsi" w:hAnsi="Arial" w:cs="Arial"/>
          <w:color w:val="auto"/>
          <w:sz w:val="22"/>
          <w:szCs w:val="20"/>
          <w:lang w:eastAsia="en-US"/>
        </w:rPr>
        <w:t>ιών</w:t>
      </w:r>
      <w:r w:rsidR="003E093D">
        <w:rPr>
          <w:rFonts w:ascii="Arial" w:eastAsiaTheme="minorHAnsi" w:hAnsi="Arial" w:cs="Arial"/>
          <w:color w:val="auto"/>
          <w:sz w:val="22"/>
          <w:szCs w:val="20"/>
          <w:lang w:eastAsia="en-US"/>
        </w:rPr>
        <w:t xml:space="preserve"> του</w:t>
      </w:r>
      <w:r w:rsidR="00A50873">
        <w:rPr>
          <w:rFonts w:ascii="Arial" w:eastAsiaTheme="minorHAnsi" w:hAnsi="Arial" w:cs="Arial"/>
          <w:color w:val="auto"/>
          <w:sz w:val="22"/>
          <w:szCs w:val="20"/>
          <w:lang w:eastAsia="en-US"/>
        </w:rPr>
        <w:t>,</w:t>
      </w:r>
      <w:r w:rsidRPr="00A76768">
        <w:rPr>
          <w:rFonts w:ascii="Arial" w:eastAsiaTheme="minorHAnsi" w:hAnsi="Arial" w:cs="Arial"/>
          <w:color w:val="auto"/>
          <w:sz w:val="22"/>
          <w:szCs w:val="20"/>
          <w:lang w:eastAsia="en-US"/>
        </w:rPr>
        <w:t xml:space="preserve"> αποτελούν </w:t>
      </w:r>
      <w:r w:rsidR="00627504">
        <w:rPr>
          <w:rFonts w:ascii="Arial" w:eastAsiaTheme="minorHAnsi" w:hAnsi="Arial" w:cs="Arial"/>
          <w:color w:val="auto"/>
          <w:sz w:val="22"/>
          <w:szCs w:val="20"/>
          <w:lang w:eastAsia="en-US"/>
        </w:rPr>
        <w:t>μοχλούς για</w:t>
      </w:r>
      <w:r w:rsidRPr="00A76768">
        <w:rPr>
          <w:rFonts w:ascii="Arial" w:eastAsiaTheme="minorHAnsi" w:hAnsi="Arial" w:cs="Arial"/>
          <w:color w:val="auto"/>
          <w:sz w:val="22"/>
          <w:szCs w:val="20"/>
          <w:lang w:eastAsia="en-US"/>
        </w:rPr>
        <w:t xml:space="preserve"> τη συνεχή υποστήριξη των μελλοντικών </w:t>
      </w:r>
      <w:r w:rsidR="00627504">
        <w:rPr>
          <w:rFonts w:ascii="Arial" w:eastAsiaTheme="minorHAnsi" w:hAnsi="Arial" w:cs="Arial"/>
          <w:color w:val="auto"/>
          <w:sz w:val="22"/>
          <w:szCs w:val="20"/>
          <w:lang w:eastAsia="en-US"/>
        </w:rPr>
        <w:t>στόχων</w:t>
      </w:r>
      <w:r w:rsidRPr="00A76768">
        <w:rPr>
          <w:rFonts w:ascii="Arial" w:eastAsiaTheme="minorHAnsi" w:hAnsi="Arial" w:cs="Arial"/>
          <w:color w:val="auto"/>
          <w:sz w:val="22"/>
          <w:szCs w:val="20"/>
          <w:lang w:eastAsia="en-US"/>
        </w:rPr>
        <w:t>.</w:t>
      </w:r>
      <w:r w:rsidR="00384DDC" w:rsidRPr="00384DDC">
        <w:rPr>
          <w:rFonts w:ascii="Arial" w:eastAsiaTheme="minorHAnsi" w:hAnsi="Arial" w:cs="Arial"/>
          <w:sz w:val="22"/>
          <w:szCs w:val="22"/>
        </w:rPr>
        <w:t xml:space="preserve"> </w:t>
      </w:r>
      <w:r w:rsidR="00132EE1" w:rsidRPr="00096929">
        <w:rPr>
          <w:rFonts w:ascii="Arial" w:eastAsiaTheme="minorHAnsi" w:hAnsi="Arial" w:cs="Arial"/>
          <w:color w:val="auto"/>
          <w:sz w:val="22"/>
          <w:szCs w:val="20"/>
          <w:lang w:eastAsia="en-US"/>
        </w:rPr>
        <w:t xml:space="preserve">Η ανάπτυξη των υπηρεσιών </w:t>
      </w:r>
      <w:r w:rsidR="00132EE1" w:rsidRPr="00096929">
        <w:rPr>
          <w:rFonts w:ascii="Arial" w:eastAsiaTheme="minorHAnsi" w:hAnsi="Arial" w:cs="Arial"/>
          <w:b/>
          <w:bCs/>
          <w:color w:val="auto"/>
          <w:sz w:val="22"/>
          <w:szCs w:val="20"/>
          <w:lang w:eastAsia="en-US"/>
        </w:rPr>
        <w:t>σταθερής</w:t>
      </w:r>
      <w:r w:rsidR="00132EE1" w:rsidRPr="00096929">
        <w:rPr>
          <w:rFonts w:ascii="Arial" w:eastAsiaTheme="minorHAnsi" w:hAnsi="Arial" w:cs="Arial"/>
          <w:color w:val="auto"/>
          <w:sz w:val="22"/>
          <w:szCs w:val="20"/>
          <w:lang w:eastAsia="en-US"/>
        </w:rPr>
        <w:t xml:space="preserve"> αναμένεται να συνεχιστεί, υποστηριζόμενη από την </w:t>
      </w:r>
      <w:r w:rsidR="00096929" w:rsidRPr="00096929">
        <w:rPr>
          <w:rFonts w:ascii="Arial" w:eastAsiaTheme="minorHAnsi" w:hAnsi="Arial" w:cs="Arial"/>
          <w:color w:val="auto"/>
          <w:sz w:val="22"/>
          <w:szCs w:val="20"/>
          <w:lang w:eastAsia="en-US"/>
        </w:rPr>
        <w:t>αυξανόμενη υιοθέτηση υπηρεσιών FTTH, τη δυναμική της υπηρεσίας Fixed Wireless Access (FWA), την περαιτέρω επέκταση του δικτύου οπτικών ινών του ΟΤΕ και τη σταθερή ανάπτυξη της τηλεόρασης</w:t>
      </w:r>
      <w:r w:rsidR="00132EE1" w:rsidRPr="00096929">
        <w:rPr>
          <w:rFonts w:ascii="Arial" w:eastAsiaTheme="minorHAnsi" w:hAnsi="Arial" w:cs="Arial"/>
          <w:color w:val="auto"/>
          <w:sz w:val="22"/>
          <w:szCs w:val="20"/>
          <w:lang w:eastAsia="en-US"/>
        </w:rPr>
        <w:t xml:space="preserve">. </w:t>
      </w:r>
      <w:r w:rsidR="00096929" w:rsidRPr="00096929">
        <w:rPr>
          <w:rFonts w:ascii="Arial" w:eastAsiaTheme="minorHAnsi" w:hAnsi="Arial" w:cs="Arial"/>
          <w:color w:val="auto"/>
          <w:sz w:val="22"/>
          <w:szCs w:val="20"/>
          <w:lang w:eastAsia="en-US"/>
        </w:rPr>
        <w:t xml:space="preserve">Ο OTE στοχεύει να φέρει το FTTH σε περίπου 2,4 </w:t>
      </w:r>
      <w:r w:rsidR="00096929" w:rsidRPr="00A275EF">
        <w:rPr>
          <w:rFonts w:ascii="Arial" w:eastAsiaTheme="minorHAnsi" w:hAnsi="Arial" w:cs="Arial"/>
          <w:color w:val="auto"/>
          <w:sz w:val="22"/>
          <w:szCs w:val="20"/>
          <w:lang w:eastAsia="en-US"/>
        </w:rPr>
        <w:t>εκατομμύρια νοικοκυριά κι επιχειρήσεις μέχρι το τέλος του 2026 και σε περίπου 3,5 εκατομμύρια μέχρι το 2030.</w:t>
      </w:r>
      <w:r w:rsidR="00276050" w:rsidRPr="00A275EF">
        <w:rPr>
          <w:rFonts w:ascii="Arial" w:eastAsiaTheme="minorHAnsi" w:hAnsi="Arial" w:cs="Arial"/>
          <w:color w:val="auto"/>
          <w:sz w:val="22"/>
          <w:szCs w:val="20"/>
          <w:lang w:eastAsia="en-US"/>
        </w:rPr>
        <w:t xml:space="preserve"> Στην </w:t>
      </w:r>
      <w:r w:rsidR="00276050" w:rsidRPr="00A275EF">
        <w:rPr>
          <w:rFonts w:ascii="Arial" w:eastAsiaTheme="minorHAnsi" w:hAnsi="Arial" w:cs="Arial"/>
          <w:b/>
          <w:bCs/>
          <w:color w:val="auto"/>
          <w:sz w:val="22"/>
          <w:szCs w:val="20"/>
          <w:lang w:eastAsia="en-US"/>
        </w:rPr>
        <w:t>κινητή</w:t>
      </w:r>
      <w:r w:rsidR="00276050" w:rsidRPr="00A275EF">
        <w:rPr>
          <w:rFonts w:ascii="Arial" w:eastAsiaTheme="minorHAnsi" w:hAnsi="Arial" w:cs="Arial"/>
          <w:color w:val="auto"/>
          <w:sz w:val="22"/>
          <w:szCs w:val="20"/>
          <w:lang w:eastAsia="en-US"/>
        </w:rPr>
        <w:t>, η ισχυρή ανάπτυξη αναμένεται να συνεχιστεί, καθώς ο ΟΤΕ συνεχίζει να επεκτείνει την κάλυψη του</w:t>
      </w:r>
      <w:r w:rsidR="008F4595">
        <w:rPr>
          <w:rFonts w:ascii="Arial" w:eastAsiaTheme="minorHAnsi" w:hAnsi="Arial" w:cs="Arial"/>
          <w:color w:val="auto"/>
          <w:sz w:val="22"/>
          <w:szCs w:val="20"/>
          <w:lang w:eastAsia="en-US"/>
        </w:rPr>
        <w:t xml:space="preserve"> δικτύου</w:t>
      </w:r>
      <w:r w:rsidR="00276050" w:rsidRPr="00A275EF">
        <w:rPr>
          <w:rFonts w:ascii="Arial" w:eastAsiaTheme="minorHAnsi" w:hAnsi="Arial" w:cs="Arial"/>
          <w:color w:val="auto"/>
          <w:sz w:val="22"/>
          <w:szCs w:val="20"/>
          <w:lang w:eastAsia="en-US"/>
        </w:rPr>
        <w:t xml:space="preserve"> 5G Stand Alone, και </w:t>
      </w:r>
      <w:r w:rsidR="00A939B2">
        <w:rPr>
          <w:rFonts w:ascii="Arial" w:eastAsiaTheme="minorHAnsi" w:hAnsi="Arial" w:cs="Arial"/>
          <w:color w:val="auto"/>
          <w:sz w:val="22"/>
          <w:szCs w:val="20"/>
          <w:lang w:eastAsia="en-US"/>
        </w:rPr>
        <w:t>οι πελάτες συνεχίζουν να αυξάνουν τη χρήση δεδομένων</w:t>
      </w:r>
      <w:r w:rsidR="00276050" w:rsidRPr="00A275EF">
        <w:rPr>
          <w:rFonts w:ascii="Arial" w:eastAsiaTheme="minorHAnsi" w:hAnsi="Arial" w:cs="Arial"/>
          <w:color w:val="auto"/>
          <w:sz w:val="22"/>
          <w:szCs w:val="20"/>
          <w:lang w:eastAsia="en-US"/>
        </w:rPr>
        <w:t xml:space="preserve">. Στο </w:t>
      </w:r>
      <w:r w:rsidR="00276050" w:rsidRPr="00A275EF">
        <w:rPr>
          <w:rFonts w:ascii="Arial" w:eastAsiaTheme="minorHAnsi" w:hAnsi="Arial" w:cs="Arial"/>
          <w:b/>
          <w:bCs/>
          <w:color w:val="auto"/>
          <w:sz w:val="22"/>
          <w:szCs w:val="20"/>
          <w:lang w:eastAsia="en-US"/>
        </w:rPr>
        <w:t>ICT</w:t>
      </w:r>
      <w:r w:rsidR="00276050" w:rsidRPr="00A275EF">
        <w:rPr>
          <w:rFonts w:ascii="Arial" w:eastAsiaTheme="minorHAnsi" w:hAnsi="Arial" w:cs="Arial"/>
          <w:color w:val="auto"/>
          <w:sz w:val="22"/>
          <w:szCs w:val="20"/>
          <w:lang w:eastAsia="en-US"/>
        </w:rPr>
        <w:t xml:space="preserve">, ο ΟΤΕ αναμένει ότι τα έργα που χρηματοδοτούνται από την Ευρωπαϊκή Ένωση θα αρχίσουν σταδιακά να μειώνονται, με τα έργα για τον ιδιωτικό τομέα να καταλαμβάνουν ολοένα και μεγαλύτερο μερίδιο στον </w:t>
      </w:r>
      <w:r w:rsidR="00733CB6">
        <w:rPr>
          <w:rFonts w:ascii="Arial" w:eastAsiaTheme="minorHAnsi" w:hAnsi="Arial" w:cs="Arial"/>
          <w:color w:val="auto"/>
          <w:sz w:val="22"/>
          <w:szCs w:val="20"/>
          <w:lang w:eastAsia="en-US"/>
        </w:rPr>
        <w:t xml:space="preserve">συγκεκριμένο </w:t>
      </w:r>
      <w:r w:rsidR="00276050" w:rsidRPr="00A275EF">
        <w:rPr>
          <w:rFonts w:ascii="Arial" w:eastAsiaTheme="minorHAnsi" w:hAnsi="Arial" w:cs="Arial"/>
          <w:color w:val="auto"/>
          <w:sz w:val="22"/>
          <w:szCs w:val="20"/>
          <w:lang w:eastAsia="en-US"/>
        </w:rPr>
        <w:t xml:space="preserve">τομέα. Στις υπηρεσίες </w:t>
      </w:r>
      <w:r w:rsidR="00276050" w:rsidRPr="00A275EF">
        <w:rPr>
          <w:rFonts w:ascii="Arial" w:eastAsiaTheme="minorHAnsi" w:hAnsi="Arial" w:cs="Arial"/>
          <w:b/>
          <w:bCs/>
          <w:color w:val="auto"/>
          <w:sz w:val="22"/>
          <w:szCs w:val="20"/>
          <w:lang w:eastAsia="en-US"/>
        </w:rPr>
        <w:t>χονδρικής</w:t>
      </w:r>
      <w:r w:rsidR="00276050" w:rsidRPr="00A275EF">
        <w:rPr>
          <w:rFonts w:ascii="Arial" w:eastAsiaTheme="minorHAnsi" w:hAnsi="Arial" w:cs="Arial"/>
          <w:color w:val="auto"/>
          <w:sz w:val="22"/>
          <w:szCs w:val="20"/>
          <w:lang w:eastAsia="en-US"/>
        </w:rPr>
        <w:t>, ο ΟΤΕ αναμένει υποχώρηση στη</w:t>
      </w:r>
      <w:r w:rsidR="00733CB6">
        <w:rPr>
          <w:rFonts w:ascii="Arial" w:eastAsiaTheme="minorHAnsi" w:hAnsi="Arial" w:cs="Arial"/>
          <w:color w:val="auto"/>
          <w:sz w:val="22"/>
          <w:szCs w:val="20"/>
          <w:lang w:eastAsia="en-US"/>
        </w:rPr>
        <w:t>,</w:t>
      </w:r>
      <w:r w:rsidR="00276050" w:rsidRPr="00A275EF">
        <w:rPr>
          <w:rFonts w:ascii="Arial" w:eastAsiaTheme="minorHAnsi" w:hAnsi="Arial" w:cs="Arial"/>
          <w:color w:val="auto"/>
          <w:sz w:val="22"/>
          <w:szCs w:val="20"/>
          <w:lang w:eastAsia="en-US"/>
        </w:rPr>
        <w:t xml:space="preserve"> σχεδόν μηδενικού περιθωρίου κέρδους</w:t>
      </w:r>
      <w:r w:rsidR="00733CB6">
        <w:rPr>
          <w:rFonts w:ascii="Arial" w:eastAsiaTheme="minorHAnsi" w:hAnsi="Arial" w:cs="Arial"/>
          <w:color w:val="auto"/>
          <w:sz w:val="22"/>
          <w:szCs w:val="20"/>
          <w:lang w:eastAsia="en-US"/>
        </w:rPr>
        <w:t>,</w:t>
      </w:r>
      <w:r w:rsidR="00276050" w:rsidRPr="00A275EF">
        <w:rPr>
          <w:rFonts w:ascii="Arial" w:eastAsiaTheme="minorHAnsi" w:hAnsi="Arial" w:cs="Arial"/>
          <w:color w:val="auto"/>
          <w:sz w:val="22"/>
          <w:szCs w:val="20"/>
          <w:lang w:eastAsia="en-US"/>
        </w:rPr>
        <w:t xml:space="preserve"> διεθνή χονδρική, καθώς ορισμένες δραστηριότητες καταργούνται σταδιακά, ενώ οι εγχώριες τάσεις</w:t>
      </w:r>
      <w:r w:rsidR="00B246D0" w:rsidRPr="00A275EF">
        <w:rPr>
          <w:rFonts w:ascii="Arial" w:eastAsiaTheme="minorHAnsi" w:hAnsi="Arial" w:cs="Arial"/>
          <w:color w:val="auto"/>
          <w:sz w:val="22"/>
          <w:szCs w:val="20"/>
          <w:lang w:eastAsia="en-US"/>
        </w:rPr>
        <w:t xml:space="preserve"> που παρατηρήθηκαν το 2025 εκτιμάται ότι θα συνεχιστούν</w:t>
      </w:r>
      <w:r w:rsidR="00A275EF" w:rsidRPr="00A275EF">
        <w:rPr>
          <w:rFonts w:ascii="Arial" w:eastAsiaTheme="minorHAnsi" w:hAnsi="Arial" w:cs="Arial"/>
          <w:color w:val="auto"/>
          <w:sz w:val="22"/>
          <w:szCs w:val="20"/>
          <w:lang w:eastAsia="en-US"/>
        </w:rPr>
        <w:t>.</w:t>
      </w:r>
      <w:r w:rsidR="001378C2">
        <w:rPr>
          <w:rFonts w:ascii="Arial" w:eastAsiaTheme="minorHAnsi" w:hAnsi="Arial" w:cs="Arial"/>
          <w:color w:val="auto"/>
          <w:sz w:val="22"/>
          <w:szCs w:val="20"/>
          <w:lang w:eastAsia="en-US"/>
        </w:rPr>
        <w:t xml:space="preserve"> Ο </w:t>
      </w:r>
      <w:r w:rsidR="001378C2" w:rsidRPr="001378C2">
        <w:rPr>
          <w:rFonts w:ascii="Arial" w:eastAsiaTheme="minorHAnsi" w:hAnsi="Arial" w:cs="Arial"/>
          <w:color w:val="auto"/>
          <w:sz w:val="22"/>
          <w:szCs w:val="20"/>
          <w:lang w:eastAsia="en-US"/>
        </w:rPr>
        <w:t xml:space="preserve">ΟΤΕ θα συνεχίσει την ορθολογική διαχείριση του </w:t>
      </w:r>
      <w:r w:rsidR="001378C2" w:rsidRPr="00B14940">
        <w:rPr>
          <w:rFonts w:ascii="Arial" w:eastAsiaTheme="minorHAnsi" w:hAnsi="Arial" w:cs="Arial"/>
          <w:b/>
          <w:bCs/>
          <w:color w:val="auto"/>
          <w:sz w:val="22"/>
          <w:szCs w:val="20"/>
          <w:lang w:eastAsia="en-US"/>
        </w:rPr>
        <w:t>κόστους</w:t>
      </w:r>
      <w:r w:rsidR="001378C2" w:rsidRPr="001378C2">
        <w:rPr>
          <w:rFonts w:ascii="Arial" w:eastAsiaTheme="minorHAnsi" w:hAnsi="Arial" w:cs="Arial"/>
          <w:color w:val="auto"/>
          <w:sz w:val="22"/>
          <w:szCs w:val="20"/>
          <w:lang w:eastAsia="en-US"/>
        </w:rPr>
        <w:t xml:space="preserve"> για να επιτύχει περαιτέρω εξοικονομήσεις, ειδικά σε λειτουργίες που μετασχηματίζονται.</w:t>
      </w:r>
      <w:r w:rsidR="00C550E2">
        <w:rPr>
          <w:rFonts w:ascii="Arial" w:eastAsiaTheme="minorHAnsi" w:hAnsi="Arial" w:cs="Arial"/>
          <w:color w:val="auto"/>
          <w:sz w:val="22"/>
          <w:szCs w:val="20"/>
          <w:lang w:eastAsia="en-US"/>
        </w:rPr>
        <w:t xml:space="preserve"> </w:t>
      </w:r>
      <w:r w:rsidR="00C550E2" w:rsidRPr="00C550E2">
        <w:rPr>
          <w:rFonts w:ascii="Arial" w:eastAsiaTheme="minorHAnsi" w:hAnsi="Arial" w:cs="Arial"/>
          <w:color w:val="auto"/>
          <w:sz w:val="22"/>
          <w:szCs w:val="20"/>
          <w:lang w:eastAsia="en-US"/>
        </w:rPr>
        <w:t xml:space="preserve">Η αξιοποίηση της τεχνητής νοημοσύνης </w:t>
      </w:r>
      <w:r w:rsidR="00BF7BDE">
        <w:rPr>
          <w:rFonts w:ascii="Arial" w:eastAsiaTheme="minorHAnsi" w:hAnsi="Arial" w:cs="Arial"/>
          <w:color w:val="auto"/>
          <w:sz w:val="22"/>
          <w:szCs w:val="20"/>
          <w:lang w:eastAsia="en-US"/>
        </w:rPr>
        <w:t>επεκτείνεται</w:t>
      </w:r>
      <w:r w:rsidR="00C550E2" w:rsidRPr="00C550E2">
        <w:rPr>
          <w:rFonts w:ascii="Arial" w:eastAsiaTheme="minorHAnsi" w:hAnsi="Arial" w:cs="Arial"/>
          <w:color w:val="auto"/>
          <w:sz w:val="22"/>
          <w:szCs w:val="20"/>
          <w:lang w:eastAsia="en-US"/>
        </w:rPr>
        <w:t xml:space="preserve"> </w:t>
      </w:r>
      <w:r w:rsidR="00F77DEC">
        <w:rPr>
          <w:rFonts w:ascii="Arial" w:eastAsiaTheme="minorHAnsi" w:hAnsi="Arial" w:cs="Arial"/>
          <w:color w:val="auto"/>
          <w:sz w:val="22"/>
          <w:szCs w:val="20"/>
          <w:lang w:eastAsia="en-US"/>
        </w:rPr>
        <w:t xml:space="preserve">σταδιακά </w:t>
      </w:r>
      <w:r w:rsidR="00C550E2" w:rsidRPr="00C550E2">
        <w:rPr>
          <w:rFonts w:ascii="Arial" w:eastAsiaTheme="minorHAnsi" w:hAnsi="Arial" w:cs="Arial"/>
          <w:color w:val="auto"/>
          <w:sz w:val="22"/>
          <w:szCs w:val="20"/>
          <w:lang w:eastAsia="en-US"/>
        </w:rPr>
        <w:t xml:space="preserve">σε </w:t>
      </w:r>
      <w:r w:rsidR="00F77DEC">
        <w:rPr>
          <w:rFonts w:ascii="Arial" w:eastAsiaTheme="minorHAnsi" w:hAnsi="Arial" w:cs="Arial"/>
          <w:color w:val="auto"/>
          <w:sz w:val="22"/>
          <w:szCs w:val="20"/>
          <w:lang w:eastAsia="en-US"/>
        </w:rPr>
        <w:t>πολλαπλές</w:t>
      </w:r>
      <w:r w:rsidR="00C550E2" w:rsidRPr="00C550E2">
        <w:rPr>
          <w:rFonts w:ascii="Arial" w:eastAsiaTheme="minorHAnsi" w:hAnsi="Arial" w:cs="Arial"/>
          <w:color w:val="auto"/>
          <w:sz w:val="22"/>
          <w:szCs w:val="20"/>
          <w:lang w:eastAsia="en-US"/>
        </w:rPr>
        <w:t xml:space="preserve"> λειτουργίες</w:t>
      </w:r>
      <w:r w:rsidR="0023133A">
        <w:rPr>
          <w:rFonts w:ascii="Arial" w:eastAsiaTheme="minorHAnsi" w:hAnsi="Arial" w:cs="Arial"/>
          <w:color w:val="auto"/>
          <w:sz w:val="22"/>
          <w:szCs w:val="20"/>
          <w:lang w:eastAsia="en-US"/>
        </w:rPr>
        <w:t xml:space="preserve"> της Εταιρείας</w:t>
      </w:r>
      <w:r w:rsidR="00C550E2" w:rsidRPr="00C550E2">
        <w:rPr>
          <w:rFonts w:ascii="Arial" w:eastAsiaTheme="minorHAnsi" w:hAnsi="Arial" w:cs="Arial"/>
          <w:color w:val="auto"/>
          <w:sz w:val="22"/>
          <w:szCs w:val="20"/>
          <w:lang w:eastAsia="en-US"/>
        </w:rPr>
        <w:t>, συμπεριλαμβανομένων</w:t>
      </w:r>
      <w:r w:rsidR="008F4595">
        <w:rPr>
          <w:rFonts w:ascii="Arial" w:eastAsiaTheme="minorHAnsi" w:hAnsi="Arial" w:cs="Arial"/>
          <w:color w:val="auto"/>
          <w:sz w:val="22"/>
          <w:szCs w:val="20"/>
          <w:lang w:eastAsia="en-US"/>
        </w:rPr>
        <w:t xml:space="preserve"> του</w:t>
      </w:r>
      <w:r w:rsidR="00C550E2" w:rsidRPr="00C550E2">
        <w:rPr>
          <w:rFonts w:ascii="Arial" w:eastAsiaTheme="minorHAnsi" w:hAnsi="Arial" w:cs="Arial"/>
          <w:color w:val="auto"/>
          <w:sz w:val="22"/>
          <w:szCs w:val="20"/>
          <w:lang w:eastAsia="en-US"/>
        </w:rPr>
        <w:t xml:space="preserve"> IT, της Διαχείρισης Δικτύου, των Call Centers και </w:t>
      </w:r>
      <w:r w:rsidR="000260CB">
        <w:rPr>
          <w:rFonts w:ascii="Arial" w:eastAsiaTheme="minorHAnsi" w:hAnsi="Arial" w:cs="Arial"/>
          <w:color w:val="auto"/>
          <w:sz w:val="22"/>
          <w:szCs w:val="20"/>
          <w:lang w:eastAsia="en-US"/>
        </w:rPr>
        <w:t>της</w:t>
      </w:r>
      <w:r w:rsidR="00C550E2" w:rsidRPr="00C550E2">
        <w:rPr>
          <w:rFonts w:ascii="Arial" w:eastAsiaTheme="minorHAnsi" w:hAnsi="Arial" w:cs="Arial"/>
          <w:color w:val="auto"/>
          <w:sz w:val="22"/>
          <w:szCs w:val="20"/>
          <w:lang w:eastAsia="en-US"/>
        </w:rPr>
        <w:t xml:space="preserve"> εξυπηρέτησης πελατών, ενισχύοντας </w:t>
      </w:r>
      <w:r w:rsidR="008C7220">
        <w:rPr>
          <w:rFonts w:ascii="Arial" w:eastAsiaTheme="minorHAnsi" w:hAnsi="Arial" w:cs="Arial"/>
          <w:color w:val="auto"/>
          <w:sz w:val="22"/>
          <w:szCs w:val="20"/>
          <w:lang w:eastAsia="en-US"/>
        </w:rPr>
        <w:t>τις λειτουργικές αποδόσεις</w:t>
      </w:r>
      <w:r w:rsidR="00C550E2" w:rsidRPr="00C550E2">
        <w:rPr>
          <w:rFonts w:ascii="Arial" w:eastAsiaTheme="minorHAnsi" w:hAnsi="Arial" w:cs="Arial"/>
          <w:color w:val="auto"/>
          <w:sz w:val="22"/>
          <w:szCs w:val="20"/>
          <w:lang w:eastAsia="en-US"/>
        </w:rPr>
        <w:t>.</w:t>
      </w:r>
    </w:p>
    <w:p w14:paraId="41B74C9E" w14:textId="77777777" w:rsidR="00276050" w:rsidRDefault="00276050" w:rsidP="00B33BC4">
      <w:pPr>
        <w:pStyle w:val="Default"/>
        <w:spacing w:line="276" w:lineRule="auto"/>
        <w:jc w:val="both"/>
        <w:rPr>
          <w:rFonts w:ascii="Arial" w:eastAsiaTheme="minorHAnsi" w:hAnsi="Arial" w:cs="Arial"/>
          <w:color w:val="FF0000"/>
          <w:sz w:val="22"/>
          <w:szCs w:val="20"/>
          <w:lang w:eastAsia="en-US"/>
        </w:rPr>
      </w:pPr>
    </w:p>
    <w:p w14:paraId="6C4A3B29" w14:textId="66BB5168" w:rsidR="00003607" w:rsidRDefault="00003607">
      <w:pPr>
        <w:rPr>
          <w:rFonts w:ascii="Arial" w:eastAsia="Times New Roman" w:hAnsi="Arial" w:cs="Arial"/>
          <w:b/>
          <w:bCs/>
          <w:iCs/>
          <w:szCs w:val="20"/>
          <w:u w:val="single"/>
        </w:rPr>
      </w:pPr>
    </w:p>
    <w:p w14:paraId="494EE27C" w14:textId="749752A3" w:rsidR="006F7668" w:rsidRPr="00AE4BFA" w:rsidRDefault="006F7668" w:rsidP="00D44783">
      <w:pPr>
        <w:spacing w:after="0" w:line="240" w:lineRule="auto"/>
        <w:jc w:val="both"/>
        <w:rPr>
          <w:rFonts w:ascii="Arial" w:eastAsia="Times New Roman" w:hAnsi="Arial" w:cs="Arial"/>
          <w:b/>
          <w:bCs/>
          <w:iCs/>
          <w:szCs w:val="20"/>
          <w:u w:val="single"/>
        </w:rPr>
      </w:pPr>
      <w:r w:rsidRPr="00D44783">
        <w:rPr>
          <w:rFonts w:ascii="Arial" w:eastAsia="Times New Roman" w:hAnsi="Arial" w:cs="Arial"/>
          <w:b/>
          <w:bCs/>
          <w:iCs/>
          <w:szCs w:val="20"/>
          <w:u w:val="single"/>
        </w:rPr>
        <w:t>Στόχοι 202</w:t>
      </w:r>
      <w:r w:rsidR="00C803AA">
        <w:rPr>
          <w:rFonts w:ascii="Arial" w:eastAsia="Times New Roman" w:hAnsi="Arial" w:cs="Arial"/>
          <w:b/>
          <w:bCs/>
          <w:iCs/>
          <w:szCs w:val="20"/>
          <w:u w:val="single"/>
        </w:rPr>
        <w:t>6</w:t>
      </w:r>
      <w:r w:rsidR="00AE4BFA">
        <w:rPr>
          <w:rFonts w:ascii="Arial" w:eastAsia="Times New Roman" w:hAnsi="Arial" w:cs="Arial"/>
          <w:b/>
          <w:bCs/>
          <w:iCs/>
          <w:szCs w:val="20"/>
          <w:u w:val="single"/>
          <w:lang w:val="en-US"/>
        </w:rPr>
        <w:t>-</w:t>
      </w:r>
      <w:r w:rsidR="00AE4BFA">
        <w:rPr>
          <w:rFonts w:ascii="Arial" w:eastAsia="Times New Roman" w:hAnsi="Arial" w:cs="Arial"/>
          <w:b/>
          <w:bCs/>
          <w:iCs/>
          <w:szCs w:val="20"/>
          <w:u w:val="single"/>
        </w:rPr>
        <w:t>Διατήρηση</w:t>
      </w:r>
    </w:p>
    <w:p w14:paraId="59761606" w14:textId="00C274FB" w:rsidR="00685E9D" w:rsidRPr="00DF0769" w:rsidRDefault="006F7668" w:rsidP="00B05C52">
      <w:pPr>
        <w:pStyle w:val="ListParagraph"/>
        <w:numPr>
          <w:ilvl w:val="0"/>
          <w:numId w:val="7"/>
        </w:numPr>
        <w:spacing w:after="160" w:line="280" w:lineRule="exact"/>
        <w:ind w:left="284" w:hanging="284"/>
        <w:jc w:val="both"/>
        <w:rPr>
          <w:rFonts w:ascii="Arial" w:hAnsi="Arial" w:cs="Arial"/>
          <w:sz w:val="22"/>
          <w:lang w:val="el-GR"/>
        </w:rPr>
      </w:pPr>
      <w:r w:rsidRPr="00685E9D">
        <w:rPr>
          <w:rFonts w:ascii="Arial" w:hAnsi="Arial" w:cs="Arial"/>
          <w:b/>
          <w:sz w:val="22"/>
          <w:lang w:val="el-GR"/>
        </w:rPr>
        <w:t>Ελεύθερες Ταμειακές Ροές (</w:t>
      </w:r>
      <w:r w:rsidRPr="00685E9D">
        <w:rPr>
          <w:rFonts w:ascii="Arial" w:hAnsi="Arial" w:cs="Arial"/>
          <w:b/>
          <w:sz w:val="22"/>
        </w:rPr>
        <w:t>FCF</w:t>
      </w:r>
      <w:r w:rsidRPr="00685E9D">
        <w:rPr>
          <w:rFonts w:ascii="Arial" w:hAnsi="Arial" w:cs="Arial"/>
          <w:b/>
          <w:sz w:val="22"/>
          <w:lang w:val="el-GR"/>
        </w:rPr>
        <w:t>):</w:t>
      </w:r>
      <w:r w:rsidRPr="00685E9D">
        <w:rPr>
          <w:rFonts w:ascii="Arial" w:hAnsi="Arial" w:cs="Arial"/>
          <w:bCs/>
          <w:sz w:val="22"/>
          <w:lang w:val="el-GR"/>
        </w:rPr>
        <w:t xml:space="preserve"> </w:t>
      </w:r>
      <w:r w:rsidRPr="002A1D3C">
        <w:rPr>
          <w:rFonts w:ascii="Arial" w:hAnsi="Arial" w:cs="Arial"/>
          <w:sz w:val="22"/>
          <w:lang w:val="el-GR"/>
        </w:rPr>
        <w:t>Ο ΟΤΕ αναμένει</w:t>
      </w:r>
      <w:r w:rsidR="00A1371C">
        <w:rPr>
          <w:rFonts w:ascii="Arial" w:hAnsi="Arial" w:cs="Arial"/>
          <w:sz w:val="22"/>
          <w:lang w:val="el-GR"/>
        </w:rPr>
        <w:t xml:space="preserve"> </w:t>
      </w:r>
      <w:r w:rsidRPr="002A1D3C">
        <w:rPr>
          <w:rFonts w:ascii="Arial" w:hAnsi="Arial" w:cs="Arial"/>
          <w:sz w:val="22"/>
          <w:lang w:val="el-GR"/>
        </w:rPr>
        <w:t>ελεύθερες ταμειακές ροές ύψους €</w:t>
      </w:r>
      <w:r w:rsidR="00CE28E4" w:rsidRPr="00CE28E4">
        <w:rPr>
          <w:rFonts w:ascii="Arial" w:hAnsi="Arial" w:cs="Arial"/>
          <w:sz w:val="22"/>
          <w:lang w:val="el-GR"/>
        </w:rPr>
        <w:t>750</w:t>
      </w:r>
      <w:r w:rsidRPr="002A1D3C">
        <w:rPr>
          <w:rFonts w:ascii="Arial" w:hAnsi="Arial" w:cs="Arial"/>
          <w:sz w:val="22"/>
          <w:lang w:val="el-GR"/>
        </w:rPr>
        <w:t xml:space="preserve"> εκατ. περίπου</w:t>
      </w:r>
      <w:r w:rsidR="00A932BA">
        <w:rPr>
          <w:rFonts w:ascii="Arial" w:hAnsi="Arial" w:cs="Arial"/>
          <w:sz w:val="22"/>
          <w:lang w:val="el-GR"/>
        </w:rPr>
        <w:t>,</w:t>
      </w:r>
      <w:r w:rsidR="002A1D3C" w:rsidRPr="002A1D3C">
        <w:rPr>
          <w:rFonts w:ascii="Arial" w:hAnsi="Arial" w:cs="Arial"/>
          <w:sz w:val="22"/>
          <w:lang w:val="el-GR"/>
        </w:rPr>
        <w:t xml:space="preserve"> </w:t>
      </w:r>
      <w:r w:rsidR="00FD4F17">
        <w:rPr>
          <w:rFonts w:ascii="Arial" w:hAnsi="Arial" w:cs="Arial"/>
          <w:sz w:val="22"/>
          <w:lang w:val="el-GR"/>
        </w:rPr>
        <w:t>μ</w:t>
      </w:r>
      <w:r w:rsidR="00042A15">
        <w:rPr>
          <w:rFonts w:ascii="Arial" w:hAnsi="Arial" w:cs="Arial"/>
          <w:sz w:val="22"/>
          <w:lang w:val="el-GR"/>
        </w:rPr>
        <w:t xml:space="preserve">ε την </w:t>
      </w:r>
      <w:r w:rsidR="00726F4B">
        <w:rPr>
          <w:rFonts w:ascii="Arial" w:hAnsi="Arial" w:cs="Arial"/>
          <w:sz w:val="22"/>
          <w:lang w:val="el-GR"/>
        </w:rPr>
        <w:t>παραδοχή</w:t>
      </w:r>
      <w:r w:rsidR="00A1371C">
        <w:rPr>
          <w:rFonts w:ascii="Arial" w:hAnsi="Arial" w:cs="Arial"/>
          <w:sz w:val="22"/>
          <w:lang w:val="el-GR"/>
        </w:rPr>
        <w:t xml:space="preserve"> </w:t>
      </w:r>
      <w:r w:rsidR="00042A15">
        <w:rPr>
          <w:rFonts w:ascii="Arial" w:hAnsi="Arial" w:cs="Arial"/>
          <w:sz w:val="22"/>
          <w:lang w:val="el-GR"/>
        </w:rPr>
        <w:t xml:space="preserve">ότι η διαδικασία </w:t>
      </w:r>
      <w:r w:rsidR="00042A15" w:rsidRPr="00BE0F0B">
        <w:rPr>
          <w:rFonts w:ascii="Arial" w:hAnsi="Arial" w:cs="Arial"/>
          <w:color w:val="000000" w:themeColor="text1"/>
          <w:sz w:val="22"/>
          <w:lang w:val="el-GR"/>
        </w:rPr>
        <w:t>δημοπράτησης για τη χορήγηση του φάσματος</w:t>
      </w:r>
      <w:r w:rsidR="00C629FB">
        <w:rPr>
          <w:rFonts w:ascii="Arial" w:hAnsi="Arial" w:cs="Arial"/>
          <w:color w:val="000000" w:themeColor="text1"/>
          <w:sz w:val="22"/>
          <w:lang w:val="el-GR"/>
        </w:rPr>
        <w:t xml:space="preserve"> </w:t>
      </w:r>
      <w:r w:rsidR="00042A15" w:rsidRPr="00BE0F0B">
        <w:rPr>
          <w:rFonts w:ascii="Arial" w:hAnsi="Arial" w:cs="Arial"/>
          <w:color w:val="000000" w:themeColor="text1"/>
          <w:sz w:val="22"/>
          <w:lang w:val="el-GR"/>
        </w:rPr>
        <w:t>θα πραγματοποιηθεί εντός του 2027</w:t>
      </w:r>
      <w:r w:rsidR="00BE0F0B" w:rsidRPr="00BE0F0B">
        <w:rPr>
          <w:rFonts w:ascii="Arial" w:hAnsi="Arial" w:cs="Arial"/>
          <w:color w:val="000000" w:themeColor="text1"/>
          <w:sz w:val="22"/>
          <w:lang w:val="el-GR"/>
        </w:rPr>
        <w:t>.</w:t>
      </w:r>
      <w:r w:rsidR="00042A15" w:rsidRPr="00BE0F0B">
        <w:rPr>
          <w:rFonts w:ascii="Arial" w:hAnsi="Arial" w:cs="Arial"/>
          <w:color w:val="000000" w:themeColor="text1"/>
          <w:sz w:val="22"/>
          <w:lang w:val="el-GR"/>
        </w:rPr>
        <w:t xml:space="preserve"> </w:t>
      </w:r>
      <w:r w:rsidR="002A1D3C" w:rsidRPr="00BE0F0B">
        <w:rPr>
          <w:rFonts w:ascii="Arial" w:hAnsi="Arial" w:cs="Arial"/>
          <w:color w:val="000000" w:themeColor="text1"/>
          <w:sz w:val="22"/>
          <w:lang w:val="el-GR"/>
        </w:rPr>
        <w:t xml:space="preserve">Εξαιρουμένης της επίδρασης ορισμένων θετικών έκτακτων </w:t>
      </w:r>
      <w:r w:rsidR="00BE0F0B" w:rsidRPr="00BE0F0B">
        <w:rPr>
          <w:rFonts w:ascii="Arial" w:hAnsi="Arial" w:cs="Arial"/>
          <w:color w:val="000000" w:themeColor="text1"/>
          <w:sz w:val="22"/>
          <w:lang w:val="el-GR"/>
        </w:rPr>
        <w:t xml:space="preserve">φορολογικών </w:t>
      </w:r>
      <w:r w:rsidR="002A1D3C" w:rsidRPr="00BE0F0B">
        <w:rPr>
          <w:rFonts w:ascii="Arial" w:hAnsi="Arial" w:cs="Arial"/>
          <w:color w:val="000000" w:themeColor="text1"/>
          <w:sz w:val="22"/>
          <w:lang w:val="el-GR"/>
        </w:rPr>
        <w:t xml:space="preserve">παραγόντων, που προκύπτουν κυρίως από την αποεπένδυση των δραστηριοτήτων στη Ρουμανία, οι Ελεύθερες </w:t>
      </w:r>
      <w:r w:rsidR="002A1D3C" w:rsidRPr="002A1D3C">
        <w:rPr>
          <w:rFonts w:ascii="Arial" w:hAnsi="Arial" w:cs="Arial"/>
          <w:sz w:val="22"/>
          <w:lang w:val="el-GR"/>
        </w:rPr>
        <w:t xml:space="preserve">Ταμειακές Ροές (Free Cash Flow) αναμένεται να </w:t>
      </w:r>
      <w:r w:rsidR="0051337F">
        <w:rPr>
          <w:rFonts w:ascii="Arial" w:hAnsi="Arial" w:cs="Arial"/>
          <w:sz w:val="22"/>
          <w:lang w:val="el-GR"/>
        </w:rPr>
        <w:t xml:space="preserve">ανέλθουν στο εύρος των </w:t>
      </w:r>
      <w:r w:rsidR="002A1D3C" w:rsidRPr="001F00A9">
        <w:rPr>
          <w:rFonts w:ascii="Arial" w:hAnsi="Arial" w:cs="Arial"/>
          <w:sz w:val="22"/>
          <w:lang w:val="el-GR"/>
        </w:rPr>
        <w:t>€5</w:t>
      </w:r>
      <w:r w:rsidR="000F1306" w:rsidRPr="001F00A9">
        <w:rPr>
          <w:rFonts w:ascii="Arial" w:hAnsi="Arial" w:cs="Arial"/>
          <w:sz w:val="22"/>
          <w:lang w:val="el-GR"/>
        </w:rPr>
        <w:t>70</w:t>
      </w:r>
      <w:r w:rsidR="005E0472">
        <w:rPr>
          <w:rFonts w:ascii="Arial" w:hAnsi="Arial" w:cs="Arial"/>
          <w:sz w:val="22"/>
          <w:lang w:val="el-GR"/>
        </w:rPr>
        <w:t xml:space="preserve"> εκατ.</w:t>
      </w:r>
      <w:r w:rsidR="00A1371C">
        <w:rPr>
          <w:rFonts w:ascii="Arial" w:hAnsi="Arial" w:cs="Arial"/>
          <w:sz w:val="22"/>
          <w:lang w:val="el-GR"/>
        </w:rPr>
        <w:t xml:space="preserve"> </w:t>
      </w:r>
      <w:r w:rsidR="0051337F">
        <w:rPr>
          <w:rFonts w:ascii="Arial" w:hAnsi="Arial" w:cs="Arial"/>
          <w:sz w:val="22"/>
          <w:lang w:val="el-GR"/>
        </w:rPr>
        <w:t>-</w:t>
      </w:r>
      <w:r w:rsidR="00726F4B">
        <w:rPr>
          <w:rFonts w:ascii="Arial" w:hAnsi="Arial" w:cs="Arial"/>
          <w:sz w:val="22"/>
          <w:lang w:val="el-GR"/>
        </w:rPr>
        <w:t xml:space="preserve"> </w:t>
      </w:r>
      <w:r w:rsidR="005E0472">
        <w:rPr>
          <w:rFonts w:ascii="Arial" w:hAnsi="Arial" w:cs="Arial"/>
          <w:sz w:val="22"/>
          <w:lang w:val="el-GR"/>
        </w:rPr>
        <w:t>€</w:t>
      </w:r>
      <w:r w:rsidR="002A1D3C" w:rsidRPr="001F00A9">
        <w:rPr>
          <w:rFonts w:ascii="Arial" w:hAnsi="Arial" w:cs="Arial"/>
          <w:sz w:val="22"/>
          <w:lang w:val="el-GR"/>
        </w:rPr>
        <w:t>5</w:t>
      </w:r>
      <w:r w:rsidR="000F1306" w:rsidRPr="001F00A9">
        <w:rPr>
          <w:rFonts w:ascii="Arial" w:hAnsi="Arial" w:cs="Arial"/>
          <w:sz w:val="22"/>
          <w:lang w:val="el-GR"/>
        </w:rPr>
        <w:t>8</w:t>
      </w:r>
      <w:r w:rsidR="002A1D3C" w:rsidRPr="001F00A9">
        <w:rPr>
          <w:rFonts w:ascii="Arial" w:hAnsi="Arial" w:cs="Arial"/>
          <w:sz w:val="22"/>
          <w:lang w:val="el-GR"/>
        </w:rPr>
        <w:t>0 εκατ.</w:t>
      </w:r>
    </w:p>
    <w:p w14:paraId="31049DEC" w14:textId="4E23B075" w:rsidR="000A16E4" w:rsidRPr="00F7508D" w:rsidRDefault="00EF2A1D" w:rsidP="00B05C52">
      <w:pPr>
        <w:pStyle w:val="ListParagraph"/>
        <w:numPr>
          <w:ilvl w:val="0"/>
          <w:numId w:val="7"/>
        </w:numPr>
        <w:spacing w:after="160" w:line="280" w:lineRule="exact"/>
        <w:ind w:left="284" w:hanging="284"/>
        <w:jc w:val="both"/>
        <w:rPr>
          <w:rFonts w:ascii="Arial" w:hAnsi="Arial" w:cs="Arial"/>
          <w:bCs/>
          <w:sz w:val="22"/>
          <w:lang w:val="el-GR"/>
        </w:rPr>
      </w:pPr>
      <w:r w:rsidRPr="00685E9D">
        <w:rPr>
          <w:rFonts w:ascii="Arial" w:hAnsi="Arial" w:cs="Arial"/>
          <w:b/>
          <w:sz w:val="22"/>
          <w:lang w:val="el-GR"/>
        </w:rPr>
        <w:t>Επενδύσεις (</w:t>
      </w:r>
      <w:r w:rsidRPr="00685E9D">
        <w:rPr>
          <w:rFonts w:ascii="Arial" w:hAnsi="Arial" w:cs="Arial"/>
          <w:b/>
          <w:sz w:val="22"/>
        </w:rPr>
        <w:t>CAPEX</w:t>
      </w:r>
      <w:r w:rsidRPr="00685E9D">
        <w:rPr>
          <w:rFonts w:ascii="Arial" w:hAnsi="Arial" w:cs="Arial"/>
          <w:b/>
          <w:sz w:val="22"/>
          <w:lang w:val="el-GR"/>
        </w:rPr>
        <w:t>):</w:t>
      </w:r>
      <w:r w:rsidR="00FC093F" w:rsidRPr="00685E9D">
        <w:rPr>
          <w:rFonts w:ascii="Arial" w:hAnsi="Arial" w:cs="Arial"/>
          <w:bCs/>
          <w:sz w:val="22"/>
          <w:lang w:val="el-GR"/>
        </w:rPr>
        <w:t xml:space="preserve"> </w:t>
      </w:r>
      <w:r w:rsidR="000A16E4" w:rsidRPr="00685E9D">
        <w:rPr>
          <w:rFonts w:ascii="Arial" w:hAnsi="Arial" w:cs="Arial"/>
          <w:lang w:val="el-GR"/>
          <w14:ligatures w14:val="standardContextual"/>
        </w:rPr>
        <w:t xml:space="preserve">Οι </w:t>
      </w:r>
      <w:r w:rsidR="000A16E4" w:rsidRPr="00685E9D">
        <w:rPr>
          <w:rFonts w:ascii="Arial" w:hAnsi="Arial" w:cs="Arial"/>
          <w:bCs/>
          <w:sz w:val="22"/>
          <w:lang w:val="el-GR"/>
        </w:rPr>
        <w:t>επενδύσεις αναμέν</w:t>
      </w:r>
      <w:r w:rsidR="00F4406B">
        <w:rPr>
          <w:rFonts w:ascii="Arial" w:hAnsi="Arial" w:cs="Arial"/>
          <w:bCs/>
          <w:sz w:val="22"/>
          <w:lang w:val="el-GR"/>
        </w:rPr>
        <w:t xml:space="preserve">ονται </w:t>
      </w:r>
      <w:r w:rsidR="00551B36">
        <w:rPr>
          <w:rFonts w:ascii="Arial" w:hAnsi="Arial" w:cs="Arial"/>
          <w:bCs/>
          <w:sz w:val="22"/>
          <w:lang w:val="el-GR"/>
        </w:rPr>
        <w:t>περίπου στα</w:t>
      </w:r>
      <w:r w:rsidR="00F4406B">
        <w:rPr>
          <w:rFonts w:ascii="Arial" w:hAnsi="Arial" w:cs="Arial"/>
          <w:bCs/>
          <w:sz w:val="22"/>
          <w:lang w:val="el-GR"/>
        </w:rPr>
        <w:t xml:space="preserve"> </w:t>
      </w:r>
      <w:r w:rsidR="000A16E4" w:rsidRPr="00685E9D">
        <w:rPr>
          <w:rFonts w:ascii="Arial" w:hAnsi="Arial" w:cs="Arial"/>
          <w:bCs/>
          <w:sz w:val="22"/>
          <w:lang w:val="el-GR"/>
        </w:rPr>
        <w:t>€6</w:t>
      </w:r>
      <w:r w:rsidR="00F4406B">
        <w:rPr>
          <w:rFonts w:ascii="Arial" w:hAnsi="Arial" w:cs="Arial"/>
          <w:bCs/>
          <w:sz w:val="22"/>
          <w:lang w:val="el-GR"/>
        </w:rPr>
        <w:t>0</w:t>
      </w:r>
      <w:r w:rsidR="000A16E4" w:rsidRPr="00685E9D">
        <w:rPr>
          <w:rFonts w:ascii="Arial" w:hAnsi="Arial" w:cs="Arial"/>
          <w:bCs/>
          <w:sz w:val="22"/>
          <w:lang w:val="el-GR"/>
        </w:rPr>
        <w:t>0 εκατ.</w:t>
      </w:r>
      <w:r w:rsidR="00E33A3F">
        <w:rPr>
          <w:rFonts w:ascii="Arial" w:hAnsi="Arial" w:cs="Arial"/>
          <w:bCs/>
          <w:sz w:val="22"/>
          <w:lang w:val="el-GR"/>
        </w:rPr>
        <w:t>,</w:t>
      </w:r>
      <w:r w:rsidR="00F4406B">
        <w:rPr>
          <w:rFonts w:ascii="Arial" w:hAnsi="Arial" w:cs="Arial"/>
          <w:bCs/>
          <w:sz w:val="22"/>
          <w:lang w:val="el-GR"/>
        </w:rPr>
        <w:t xml:space="preserve"> </w:t>
      </w:r>
      <w:r w:rsidR="000A16E4" w:rsidRPr="00685E9D">
        <w:rPr>
          <w:rFonts w:ascii="Arial" w:hAnsi="Arial" w:cs="Arial"/>
          <w:bCs/>
          <w:sz w:val="22"/>
          <w:lang w:val="el-GR"/>
        </w:rPr>
        <w:t>καθώς η Εταιρεία συνεχίζει την ανάπτυξη της υποδομής FTTH</w:t>
      </w:r>
      <w:r w:rsidR="00F7508D">
        <w:rPr>
          <w:rFonts w:ascii="Arial" w:hAnsi="Arial" w:cs="Arial"/>
          <w:bCs/>
          <w:sz w:val="22"/>
          <w:lang w:val="el-GR"/>
        </w:rPr>
        <w:t xml:space="preserve"> και τ</w:t>
      </w:r>
      <w:r w:rsidR="00F7508D" w:rsidRPr="00F7508D">
        <w:rPr>
          <w:rFonts w:ascii="Arial" w:hAnsi="Arial" w:cs="Arial"/>
          <w:bCs/>
          <w:sz w:val="22"/>
          <w:lang w:val="el-GR"/>
        </w:rPr>
        <w:t xml:space="preserve">ην </w:t>
      </w:r>
      <w:r w:rsidR="00E4209B">
        <w:rPr>
          <w:rFonts w:ascii="Arial" w:hAnsi="Arial" w:cs="Arial"/>
          <w:bCs/>
          <w:sz w:val="22"/>
          <w:lang w:val="el-GR"/>
        </w:rPr>
        <w:t>επέκταση</w:t>
      </w:r>
      <w:r w:rsidR="00E4209B" w:rsidRPr="00F7508D">
        <w:rPr>
          <w:rFonts w:ascii="Arial" w:hAnsi="Arial" w:cs="Arial"/>
          <w:bCs/>
          <w:sz w:val="22"/>
          <w:lang w:val="el-GR"/>
        </w:rPr>
        <w:t xml:space="preserve"> </w:t>
      </w:r>
      <w:r w:rsidR="00F7508D" w:rsidRPr="00F7508D">
        <w:rPr>
          <w:rFonts w:ascii="Arial" w:hAnsi="Arial" w:cs="Arial"/>
          <w:bCs/>
          <w:sz w:val="22"/>
          <w:lang w:val="el-GR"/>
        </w:rPr>
        <w:t xml:space="preserve">της κάλυψης </w:t>
      </w:r>
      <w:r w:rsidR="00B817B8">
        <w:rPr>
          <w:rFonts w:ascii="Arial" w:hAnsi="Arial" w:cs="Arial"/>
          <w:bCs/>
          <w:sz w:val="22"/>
          <w:lang w:val="el-GR"/>
        </w:rPr>
        <w:t>του δικτύου 5</w:t>
      </w:r>
      <w:r w:rsidR="00B817B8">
        <w:rPr>
          <w:rFonts w:ascii="Arial" w:hAnsi="Arial" w:cs="Arial"/>
          <w:bCs/>
          <w:sz w:val="22"/>
        </w:rPr>
        <w:t>G</w:t>
      </w:r>
      <w:r w:rsidR="00B817B8" w:rsidRPr="00B817B8">
        <w:rPr>
          <w:rFonts w:ascii="Arial" w:hAnsi="Arial" w:cs="Arial"/>
          <w:bCs/>
          <w:sz w:val="22"/>
          <w:lang w:val="el-GR"/>
        </w:rPr>
        <w:t xml:space="preserve"> </w:t>
      </w:r>
      <w:r w:rsidR="00F163B2">
        <w:rPr>
          <w:rFonts w:ascii="Arial" w:hAnsi="Arial" w:cs="Arial"/>
          <w:bCs/>
          <w:sz w:val="22"/>
        </w:rPr>
        <w:t>Stand</w:t>
      </w:r>
      <w:r w:rsidR="00F163B2" w:rsidRPr="00F163B2">
        <w:rPr>
          <w:rFonts w:ascii="Arial" w:hAnsi="Arial" w:cs="Arial"/>
          <w:bCs/>
          <w:sz w:val="22"/>
          <w:lang w:val="el-GR"/>
        </w:rPr>
        <w:t xml:space="preserve"> </w:t>
      </w:r>
      <w:r w:rsidR="00F163B2">
        <w:rPr>
          <w:rFonts w:ascii="Arial" w:hAnsi="Arial" w:cs="Arial"/>
          <w:bCs/>
          <w:sz w:val="22"/>
        </w:rPr>
        <w:t>Alone</w:t>
      </w:r>
      <w:r w:rsidR="00F163B2" w:rsidRPr="00F163B2">
        <w:rPr>
          <w:rFonts w:ascii="Arial" w:hAnsi="Arial" w:cs="Arial"/>
          <w:bCs/>
          <w:sz w:val="22"/>
          <w:lang w:val="el-GR"/>
        </w:rPr>
        <w:t xml:space="preserve"> (</w:t>
      </w:r>
      <w:r w:rsidR="00B817B8">
        <w:rPr>
          <w:rFonts w:ascii="Arial" w:hAnsi="Arial" w:cs="Arial"/>
          <w:bCs/>
          <w:sz w:val="22"/>
        </w:rPr>
        <w:t>SA</w:t>
      </w:r>
      <w:r w:rsidR="00F163B2" w:rsidRPr="00F163B2">
        <w:rPr>
          <w:rFonts w:ascii="Arial" w:hAnsi="Arial" w:cs="Arial"/>
          <w:bCs/>
          <w:sz w:val="22"/>
          <w:lang w:val="el-GR"/>
        </w:rPr>
        <w:t>)</w:t>
      </w:r>
      <w:r w:rsidR="006D700A">
        <w:rPr>
          <w:rFonts w:ascii="Arial" w:hAnsi="Arial" w:cs="Arial"/>
          <w:bCs/>
          <w:sz w:val="22"/>
          <w:lang w:val="el-GR"/>
        </w:rPr>
        <w:t>.</w:t>
      </w:r>
    </w:p>
    <w:p w14:paraId="2DFA356E" w14:textId="5BF168E1" w:rsidR="008E1836" w:rsidRPr="00137B29" w:rsidRDefault="00EF2A1D" w:rsidP="008E1836">
      <w:pPr>
        <w:pStyle w:val="ListParagraph"/>
        <w:numPr>
          <w:ilvl w:val="0"/>
          <w:numId w:val="7"/>
        </w:numPr>
        <w:spacing w:after="160" w:line="280" w:lineRule="exact"/>
        <w:ind w:left="284" w:hanging="284"/>
        <w:jc w:val="both"/>
        <w:rPr>
          <w:rFonts w:ascii="Arial" w:hAnsi="Arial" w:cs="Arial"/>
          <w:bCs/>
          <w:lang w:val="el-GR"/>
        </w:rPr>
      </w:pPr>
      <w:r w:rsidRPr="00497300">
        <w:rPr>
          <w:rFonts w:ascii="Arial" w:hAnsi="Arial" w:cs="Arial"/>
          <w:b/>
          <w:sz w:val="22"/>
          <w:lang w:val="el-GR"/>
        </w:rPr>
        <w:t xml:space="preserve">Προσαρμοσμένο </w:t>
      </w:r>
      <w:r w:rsidRPr="00497300">
        <w:rPr>
          <w:rFonts w:ascii="Arial" w:hAnsi="Arial" w:cs="Arial"/>
          <w:b/>
          <w:sz w:val="22"/>
        </w:rPr>
        <w:t>EBITDA</w:t>
      </w:r>
      <w:r w:rsidRPr="00497300">
        <w:rPr>
          <w:rFonts w:ascii="Arial" w:hAnsi="Arial" w:cs="Arial"/>
          <w:b/>
          <w:sz w:val="22"/>
          <w:lang w:val="el-GR"/>
        </w:rPr>
        <w:t xml:space="preserve"> (</w:t>
      </w:r>
      <w:r w:rsidRPr="00497300">
        <w:rPr>
          <w:rFonts w:ascii="Arial" w:hAnsi="Arial" w:cs="Arial"/>
          <w:b/>
          <w:sz w:val="22"/>
        </w:rPr>
        <w:t>AL</w:t>
      </w:r>
      <w:r w:rsidRPr="00497300">
        <w:rPr>
          <w:rFonts w:ascii="Arial" w:hAnsi="Arial" w:cs="Arial"/>
          <w:b/>
          <w:sz w:val="22"/>
          <w:lang w:val="el-GR"/>
        </w:rPr>
        <w:t>):</w:t>
      </w:r>
      <w:r w:rsidRPr="00497300">
        <w:rPr>
          <w:rFonts w:ascii="Arial" w:hAnsi="Arial" w:cs="Arial"/>
          <w:bCs/>
          <w:sz w:val="22"/>
          <w:lang w:val="el-GR"/>
        </w:rPr>
        <w:t xml:space="preserve"> </w:t>
      </w:r>
      <w:r w:rsidRPr="00497300">
        <w:rPr>
          <w:rFonts w:ascii="Arial" w:hAnsi="Arial" w:cs="Arial"/>
          <w:bCs/>
          <w:sz w:val="22"/>
        </w:rPr>
        <w:t>O</w:t>
      </w:r>
      <w:r w:rsidRPr="00497300">
        <w:rPr>
          <w:rFonts w:ascii="Arial" w:hAnsi="Arial" w:cs="Arial"/>
          <w:bCs/>
          <w:sz w:val="22"/>
          <w:lang w:val="el-GR"/>
        </w:rPr>
        <w:t xml:space="preserve"> </w:t>
      </w:r>
      <w:r w:rsidRPr="00497300">
        <w:rPr>
          <w:rFonts w:ascii="Arial" w:hAnsi="Arial" w:cs="Arial"/>
          <w:bCs/>
          <w:sz w:val="22"/>
        </w:rPr>
        <w:t>OTE</w:t>
      </w:r>
      <w:r w:rsidRPr="00497300">
        <w:rPr>
          <w:rFonts w:ascii="Arial" w:hAnsi="Arial" w:cs="Arial"/>
          <w:bCs/>
          <w:sz w:val="22"/>
          <w:lang w:val="el-GR"/>
        </w:rPr>
        <w:t xml:space="preserve"> </w:t>
      </w:r>
      <w:r w:rsidR="004733BA">
        <w:rPr>
          <w:rFonts w:ascii="Arial" w:hAnsi="Arial" w:cs="Arial"/>
          <w:bCs/>
          <w:sz w:val="22"/>
          <w:lang w:val="el-GR"/>
        </w:rPr>
        <w:t>αναμένει</w:t>
      </w:r>
      <w:r w:rsidR="001F5C3E">
        <w:rPr>
          <w:rFonts w:ascii="Arial" w:hAnsi="Arial" w:cs="Arial"/>
          <w:bCs/>
          <w:sz w:val="22"/>
          <w:lang w:val="el-GR"/>
        </w:rPr>
        <w:t xml:space="preserve"> επιτάχυνση του ρυθμού ανάπτυξης </w:t>
      </w:r>
      <w:r w:rsidR="002E66CE">
        <w:rPr>
          <w:rFonts w:ascii="Arial" w:hAnsi="Arial" w:cs="Arial"/>
          <w:bCs/>
          <w:sz w:val="22"/>
          <w:lang w:val="el-GR"/>
        </w:rPr>
        <w:t xml:space="preserve">του </w:t>
      </w:r>
      <w:r w:rsidR="001F5C3E">
        <w:rPr>
          <w:rFonts w:ascii="Arial" w:hAnsi="Arial" w:cs="Arial"/>
          <w:bCs/>
          <w:sz w:val="22"/>
        </w:rPr>
        <w:t>EBITDA</w:t>
      </w:r>
      <w:r w:rsidR="004733BA">
        <w:rPr>
          <w:rFonts w:ascii="Arial" w:hAnsi="Arial" w:cs="Arial"/>
          <w:bCs/>
          <w:sz w:val="22"/>
          <w:lang w:val="el-GR"/>
        </w:rPr>
        <w:t xml:space="preserve"> </w:t>
      </w:r>
      <w:r w:rsidR="001F5C3E">
        <w:rPr>
          <w:rFonts w:ascii="Arial" w:hAnsi="Arial" w:cs="Arial"/>
          <w:bCs/>
          <w:sz w:val="22"/>
          <w:lang w:val="el-GR"/>
        </w:rPr>
        <w:t xml:space="preserve">σε </w:t>
      </w:r>
      <w:r w:rsidR="004733BA">
        <w:rPr>
          <w:rFonts w:ascii="Arial" w:hAnsi="Arial" w:cs="Arial"/>
          <w:bCs/>
          <w:sz w:val="22"/>
          <w:lang w:val="el-GR"/>
        </w:rPr>
        <w:t xml:space="preserve"> </w:t>
      </w:r>
      <w:r w:rsidR="00BE615C" w:rsidRPr="00497300">
        <w:rPr>
          <w:rFonts w:ascii="Arial" w:hAnsi="Arial" w:cs="Arial"/>
          <w:bCs/>
          <w:sz w:val="22"/>
          <w:lang w:val="el-GR"/>
        </w:rPr>
        <w:t xml:space="preserve">περίπου </w:t>
      </w:r>
      <w:r w:rsidR="00D81616" w:rsidRPr="005933BA">
        <w:rPr>
          <w:rFonts w:ascii="Arial" w:hAnsi="Arial" w:cs="Arial"/>
          <w:bCs/>
          <w:sz w:val="22"/>
          <w:lang w:val="el-GR"/>
        </w:rPr>
        <w:t>3%.</w:t>
      </w:r>
    </w:p>
    <w:p w14:paraId="0FDAD99A" w14:textId="77777777" w:rsidR="00137B29" w:rsidRPr="00137B29" w:rsidRDefault="00137B29" w:rsidP="00137B29">
      <w:pPr>
        <w:pStyle w:val="ListParagraph"/>
        <w:spacing w:after="160" w:line="280" w:lineRule="exact"/>
        <w:ind w:left="284"/>
        <w:jc w:val="both"/>
        <w:rPr>
          <w:rFonts w:ascii="Arial" w:hAnsi="Arial" w:cs="Arial"/>
          <w:bCs/>
          <w:lang w:val="el-GR"/>
        </w:rPr>
      </w:pPr>
    </w:p>
    <w:p w14:paraId="2297EFA5" w14:textId="7947C853" w:rsidR="00BE7035" w:rsidRPr="00FB20CB" w:rsidRDefault="00BE7035" w:rsidP="005376F7">
      <w:pPr>
        <w:pStyle w:val="Tittle2"/>
        <w:rPr>
          <w:rFonts w:cs="Arial"/>
          <w:b w:val="0"/>
          <w:szCs w:val="24"/>
          <w:lang w:val="el-GR"/>
        </w:rPr>
      </w:pPr>
      <w:r w:rsidRPr="00FB20CB">
        <w:rPr>
          <w:rFonts w:cs="Arial"/>
          <w:lang w:val="el-GR"/>
        </w:rPr>
        <w:lastRenderedPageBreak/>
        <w:t>ΟΙΚΟΝΟΜΙΚΑ ΣΤΟΙΧΕΙΑ</w:t>
      </w:r>
      <w:r w:rsidR="009F5AB1">
        <w:rPr>
          <w:rStyle w:val="FootnoteReference"/>
          <w:rFonts w:cs="Arial"/>
          <w:lang w:val="el-GR"/>
        </w:rPr>
        <w:footnoteReference w:id="2"/>
      </w:r>
    </w:p>
    <w:p w14:paraId="1EFDABDA" w14:textId="0885ECCE" w:rsidR="00475EE9" w:rsidRPr="00FB20CB" w:rsidRDefault="00475EE9" w:rsidP="00475EE9">
      <w:pPr>
        <w:pStyle w:val="Caption"/>
        <w:keepNext/>
        <w:rPr>
          <w:rFonts w:cs="Arial"/>
          <w:lang w:val="el-GR"/>
        </w:rPr>
      </w:pPr>
      <w:r w:rsidRPr="00FB20CB">
        <w:rPr>
          <w:rFonts w:cs="Arial"/>
        </w:rPr>
        <w:t xml:space="preserve">Χρηματοοικονομικά Στοιχεία  </w:t>
      </w:r>
    </w:p>
    <w:tbl>
      <w:tblPr>
        <w:tblStyle w:val="TableGrid"/>
        <w:tblW w:w="1065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726"/>
        <w:gridCol w:w="1563"/>
        <w:gridCol w:w="1622"/>
        <w:gridCol w:w="1744"/>
      </w:tblGrid>
      <w:tr w:rsidR="002F30F8" w:rsidRPr="00D83072" w14:paraId="1B960D14" w14:textId="77777777" w:rsidTr="0020449E">
        <w:trPr>
          <w:trHeight w:val="390"/>
        </w:trPr>
        <w:tc>
          <w:tcPr>
            <w:tcW w:w="572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B4A10D9" w14:textId="77777777" w:rsidR="002F30F8" w:rsidRPr="00CC5811" w:rsidRDefault="002F30F8" w:rsidP="002F30F8">
            <w:pPr>
              <w:tabs>
                <w:tab w:val="left" w:pos="4047"/>
              </w:tabs>
              <w:ind w:left="-108"/>
              <w:rPr>
                <w:rFonts w:ascii="Arial" w:hAnsi="Arial" w:cs="Arial"/>
                <w:i/>
                <w:color w:val="000000" w:themeColor="text1"/>
              </w:rPr>
            </w:pPr>
            <w:r w:rsidRPr="000E74C4">
              <w:rPr>
                <w:rFonts w:ascii="Arial" w:hAnsi="Arial" w:cs="Arial"/>
                <w:b/>
                <w:bCs/>
                <w:lang w:val="el-GR"/>
              </w:rPr>
              <w:t>Χρηματοοικονομικά Στοιχεία</w:t>
            </w:r>
            <w:r w:rsidRPr="000E74C4">
              <w:rPr>
                <w:rFonts w:ascii="Arial" w:hAnsi="Arial" w:cs="Arial"/>
                <w:b/>
                <w:bCs/>
              </w:rPr>
              <w:t xml:space="preserve"> </w:t>
            </w:r>
            <w:r>
              <w:rPr>
                <w:rFonts w:ascii="Arial" w:hAnsi="Arial" w:cs="Arial"/>
                <w:b/>
                <w:bCs/>
                <w:lang w:val="el-GR"/>
              </w:rPr>
              <w:t>(</w:t>
            </w:r>
            <w:r w:rsidRPr="000E74C4">
              <w:rPr>
                <w:rFonts w:ascii="Arial" w:hAnsi="Arial" w:cs="Arial"/>
                <w:b/>
                <w:bCs/>
              </w:rPr>
              <w:t>Εκατ. €</w:t>
            </w:r>
            <w:r>
              <w:rPr>
                <w:rFonts w:ascii="Arial" w:hAnsi="Arial" w:cs="Arial"/>
                <w:b/>
                <w:bCs/>
                <w:lang w:val="el-GR"/>
              </w:rPr>
              <w:t>)</w:t>
            </w:r>
          </w:p>
        </w:tc>
        <w:tc>
          <w:tcPr>
            <w:tcW w:w="1563"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F2F2F2" w:themeFill="background1" w:themeFillShade="F2"/>
            <w:vAlign w:val="center"/>
          </w:tcPr>
          <w:p w14:paraId="73752A79" w14:textId="0FC654F0" w:rsidR="002F30F8" w:rsidRPr="00CC5811" w:rsidRDefault="002F30F8" w:rsidP="002F30F8">
            <w:pPr>
              <w:pStyle w:val="ColorfulList-Accent11"/>
              <w:tabs>
                <w:tab w:val="left" w:pos="0"/>
                <w:tab w:val="left" w:pos="284"/>
              </w:tabs>
              <w:ind w:left="0" w:right="-90"/>
              <w:jc w:val="center"/>
              <w:rPr>
                <w:rFonts w:ascii="Arial" w:hAnsi="Arial" w:cs="Arial"/>
                <w:i/>
                <w:color w:val="000000" w:themeColor="text1"/>
              </w:rPr>
            </w:pPr>
            <w:r w:rsidRPr="004901D5">
              <w:rPr>
                <w:rFonts w:ascii="Arial" w:hAnsi="Arial" w:cs="Arial"/>
                <w:b/>
                <w:lang w:eastAsia="el-GR"/>
              </w:rPr>
              <w:t>Q1’26</w:t>
            </w:r>
          </w:p>
        </w:tc>
        <w:tc>
          <w:tcPr>
            <w:tcW w:w="1622" w:type="dxa"/>
            <w:tcBorders>
              <w:top w:val="single" w:sz="2" w:space="0" w:color="BFBFBF" w:themeColor="background1" w:themeShade="BF"/>
              <w:left w:val="nil"/>
              <w:bottom w:val="single" w:sz="2" w:space="0" w:color="BFBFBF" w:themeColor="background1" w:themeShade="BF"/>
              <w:right w:val="nil"/>
            </w:tcBorders>
            <w:shd w:val="clear" w:color="auto" w:fill="F2F2F2" w:themeFill="background1" w:themeFillShade="F2"/>
            <w:vAlign w:val="center"/>
          </w:tcPr>
          <w:p w14:paraId="70EB5565" w14:textId="2FE02087" w:rsidR="002F30F8" w:rsidRPr="00CC5811" w:rsidRDefault="002F30F8" w:rsidP="002F30F8">
            <w:pPr>
              <w:pStyle w:val="ColorfulList-Accent11"/>
              <w:tabs>
                <w:tab w:val="left" w:pos="0"/>
                <w:tab w:val="left" w:pos="284"/>
              </w:tabs>
              <w:ind w:left="0" w:right="-90"/>
              <w:jc w:val="center"/>
              <w:rPr>
                <w:rFonts w:ascii="Arial" w:hAnsi="Arial" w:cs="Arial"/>
                <w:i/>
                <w:color w:val="000000" w:themeColor="text1"/>
              </w:rPr>
            </w:pPr>
            <w:r w:rsidRPr="004901D5">
              <w:rPr>
                <w:rFonts w:ascii="Arial" w:hAnsi="Arial" w:cs="Arial"/>
                <w:b/>
                <w:lang w:eastAsia="el-GR"/>
              </w:rPr>
              <w:t>Q1’25</w:t>
            </w:r>
          </w:p>
        </w:tc>
        <w:tc>
          <w:tcPr>
            <w:tcW w:w="1744"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F380432" w14:textId="49602657" w:rsidR="002F30F8" w:rsidRPr="00CC5811" w:rsidRDefault="002F30F8" w:rsidP="002F30F8">
            <w:pPr>
              <w:pStyle w:val="ColorfulList-Accent11"/>
              <w:tabs>
                <w:tab w:val="left" w:pos="0"/>
                <w:tab w:val="left" w:pos="284"/>
              </w:tabs>
              <w:ind w:left="0" w:right="-90"/>
              <w:jc w:val="center"/>
              <w:rPr>
                <w:rFonts w:ascii="Arial" w:hAnsi="Arial" w:cs="Arial"/>
                <w:i/>
                <w:color w:val="000000" w:themeColor="text1"/>
              </w:rPr>
            </w:pPr>
            <w:r w:rsidRPr="004901D5">
              <w:rPr>
                <w:rFonts w:ascii="Arial" w:hAnsi="Arial" w:cs="Arial"/>
                <w:b/>
              </w:rPr>
              <w:t>y-o-y</w:t>
            </w:r>
          </w:p>
        </w:tc>
      </w:tr>
      <w:tr w:rsidR="002F30F8" w:rsidRPr="00D83072" w14:paraId="407A24C4" w14:textId="77777777" w:rsidTr="0020449E">
        <w:trPr>
          <w:trHeight w:val="292"/>
        </w:trPr>
        <w:tc>
          <w:tcPr>
            <w:tcW w:w="5726" w:type="dxa"/>
            <w:tcBorders>
              <w:top w:val="single" w:sz="2" w:space="0" w:color="BFBFBF" w:themeColor="background1" w:themeShade="BF"/>
              <w:bottom w:val="nil"/>
              <w:right w:val="single" w:sz="2" w:space="0" w:color="BFBFBF" w:themeColor="background1" w:themeShade="BF"/>
            </w:tcBorders>
            <w:shd w:val="clear" w:color="auto" w:fill="F2F2F2" w:themeFill="background1" w:themeFillShade="F2"/>
            <w:vAlign w:val="center"/>
          </w:tcPr>
          <w:p w14:paraId="668072C8" w14:textId="77777777" w:rsidR="002F30F8" w:rsidRPr="00CC5811" w:rsidRDefault="002F30F8" w:rsidP="002F30F8">
            <w:pPr>
              <w:pStyle w:val="ColorfulList-Accent11"/>
              <w:tabs>
                <w:tab w:val="left" w:pos="0"/>
                <w:tab w:val="left" w:pos="284"/>
              </w:tabs>
              <w:ind w:left="0" w:right="-90"/>
              <w:rPr>
                <w:rFonts w:ascii="Arial" w:hAnsi="Arial" w:cs="Arial"/>
                <w:color w:val="000000" w:themeColor="text1"/>
              </w:rPr>
            </w:pPr>
            <w:r>
              <w:rPr>
                <w:rFonts w:ascii="Arial" w:hAnsi="Arial" w:cs="Arial"/>
                <w:b/>
                <w:color w:val="000000" w:themeColor="text1"/>
                <w:lang w:val="el-GR"/>
              </w:rPr>
              <w:t>Κύκλος Εργασιών</w:t>
            </w:r>
          </w:p>
        </w:tc>
        <w:tc>
          <w:tcPr>
            <w:tcW w:w="1563" w:type="dxa"/>
            <w:tcBorders>
              <w:top w:val="single" w:sz="2" w:space="0" w:color="BFBFBF" w:themeColor="background1" w:themeShade="BF"/>
              <w:left w:val="single" w:sz="2" w:space="0" w:color="BFBFBF" w:themeColor="background1" w:themeShade="BF"/>
              <w:bottom w:val="nil"/>
              <w:right w:val="nil"/>
            </w:tcBorders>
            <w:shd w:val="clear" w:color="auto" w:fill="F2F2F2" w:themeFill="background1" w:themeFillShade="F2"/>
            <w:vAlign w:val="bottom"/>
          </w:tcPr>
          <w:p w14:paraId="68C05D89" w14:textId="0EC7EEEC"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b/>
                <w:bCs/>
              </w:rPr>
              <w:t>859</w:t>
            </w:r>
            <w:r w:rsidR="00766238">
              <w:rPr>
                <w:rFonts w:ascii="Arial" w:hAnsi="Arial" w:cs="Arial"/>
                <w:b/>
                <w:bCs/>
              </w:rPr>
              <w:t>,</w:t>
            </w:r>
            <w:r w:rsidRPr="004901D5">
              <w:rPr>
                <w:rFonts w:ascii="Arial" w:hAnsi="Arial" w:cs="Arial"/>
                <w:b/>
                <w:bCs/>
              </w:rPr>
              <w:t>4</w:t>
            </w:r>
          </w:p>
        </w:tc>
        <w:tc>
          <w:tcPr>
            <w:tcW w:w="1622" w:type="dxa"/>
            <w:tcBorders>
              <w:top w:val="single" w:sz="2" w:space="0" w:color="BFBFBF" w:themeColor="background1" w:themeShade="BF"/>
              <w:left w:val="nil"/>
              <w:bottom w:val="nil"/>
              <w:right w:val="nil"/>
            </w:tcBorders>
            <w:shd w:val="clear" w:color="auto" w:fill="F2F2F2" w:themeFill="background1" w:themeFillShade="F2"/>
            <w:vAlign w:val="bottom"/>
          </w:tcPr>
          <w:p w14:paraId="36D14CC7" w14:textId="695BAAC6"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b/>
                <w:bCs/>
              </w:rPr>
              <w:t>818</w:t>
            </w:r>
            <w:r w:rsidR="00766238">
              <w:rPr>
                <w:rFonts w:ascii="Arial" w:hAnsi="Arial" w:cs="Arial"/>
                <w:b/>
                <w:bCs/>
              </w:rPr>
              <w:t>,</w:t>
            </w:r>
            <w:r w:rsidRPr="004901D5">
              <w:rPr>
                <w:rFonts w:ascii="Arial" w:hAnsi="Arial" w:cs="Arial"/>
                <w:b/>
                <w:bCs/>
              </w:rPr>
              <w:t>9</w:t>
            </w:r>
          </w:p>
        </w:tc>
        <w:tc>
          <w:tcPr>
            <w:tcW w:w="1744" w:type="dxa"/>
            <w:tcBorders>
              <w:top w:val="single" w:sz="2" w:space="0" w:color="BFBFBF" w:themeColor="background1" w:themeShade="BF"/>
              <w:left w:val="nil"/>
              <w:bottom w:val="nil"/>
              <w:right w:val="single" w:sz="2" w:space="0" w:color="BFBFBF" w:themeColor="background1" w:themeShade="BF"/>
            </w:tcBorders>
            <w:shd w:val="clear" w:color="auto" w:fill="F2F2F2" w:themeFill="background1" w:themeFillShade="F2"/>
            <w:vAlign w:val="bottom"/>
          </w:tcPr>
          <w:p w14:paraId="167B3960" w14:textId="07BDA0BF"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b/>
                <w:bCs/>
              </w:rPr>
              <w:t>4</w:t>
            </w:r>
            <w:r w:rsidR="00766238">
              <w:rPr>
                <w:rFonts w:ascii="Arial" w:hAnsi="Arial" w:cs="Arial"/>
                <w:b/>
                <w:bCs/>
              </w:rPr>
              <w:t>,</w:t>
            </w:r>
            <w:r w:rsidRPr="004901D5">
              <w:rPr>
                <w:rFonts w:ascii="Arial" w:hAnsi="Arial" w:cs="Arial"/>
                <w:b/>
                <w:bCs/>
              </w:rPr>
              <w:t>9</w:t>
            </w:r>
            <w:r w:rsidRPr="004901D5">
              <w:rPr>
                <w:rFonts w:ascii="Arial" w:hAnsi="Arial" w:cs="Arial"/>
                <w:b/>
              </w:rPr>
              <w:t>%</w:t>
            </w:r>
          </w:p>
        </w:tc>
      </w:tr>
      <w:tr w:rsidR="002F30F8" w:rsidRPr="00D83072" w14:paraId="5B060866" w14:textId="77777777" w:rsidTr="0020449E">
        <w:trPr>
          <w:trHeight w:val="292"/>
        </w:trPr>
        <w:tc>
          <w:tcPr>
            <w:tcW w:w="5726" w:type="dxa"/>
            <w:tcBorders>
              <w:top w:val="nil"/>
              <w:bottom w:val="nil"/>
              <w:right w:val="single" w:sz="2" w:space="0" w:color="BFBFBF" w:themeColor="background1" w:themeShade="BF"/>
            </w:tcBorders>
            <w:vAlign w:val="center"/>
          </w:tcPr>
          <w:p w14:paraId="28E137EA" w14:textId="77777777" w:rsidR="002F30F8" w:rsidRPr="00CC5811" w:rsidRDefault="002F30F8" w:rsidP="002F30F8">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λιανικής σταθερής</w:t>
            </w:r>
          </w:p>
        </w:tc>
        <w:tc>
          <w:tcPr>
            <w:tcW w:w="1563" w:type="dxa"/>
            <w:tcBorders>
              <w:top w:val="nil"/>
              <w:left w:val="single" w:sz="2" w:space="0" w:color="BFBFBF" w:themeColor="background1" w:themeShade="BF"/>
              <w:bottom w:val="nil"/>
              <w:right w:val="nil"/>
            </w:tcBorders>
            <w:vAlign w:val="center"/>
          </w:tcPr>
          <w:p w14:paraId="632AD523" w14:textId="0F568ED7"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232</w:t>
            </w:r>
            <w:r w:rsidR="00766238">
              <w:rPr>
                <w:rFonts w:ascii="Arial" w:hAnsi="Arial" w:cs="Arial"/>
              </w:rPr>
              <w:t>,</w:t>
            </w:r>
            <w:r w:rsidRPr="004901D5">
              <w:rPr>
                <w:rFonts w:ascii="Arial" w:hAnsi="Arial" w:cs="Arial"/>
              </w:rPr>
              <w:t>9</w:t>
            </w:r>
          </w:p>
        </w:tc>
        <w:tc>
          <w:tcPr>
            <w:tcW w:w="1622" w:type="dxa"/>
            <w:tcBorders>
              <w:top w:val="nil"/>
              <w:left w:val="nil"/>
              <w:bottom w:val="nil"/>
              <w:right w:val="nil"/>
            </w:tcBorders>
            <w:vAlign w:val="center"/>
          </w:tcPr>
          <w:p w14:paraId="7D3F8457" w14:textId="07B2135C"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230</w:t>
            </w:r>
            <w:r w:rsidR="00766238">
              <w:rPr>
                <w:rFonts w:ascii="Arial" w:hAnsi="Arial" w:cs="Arial"/>
              </w:rPr>
              <w:t>,</w:t>
            </w:r>
            <w:r w:rsidRPr="004901D5">
              <w:rPr>
                <w:rFonts w:ascii="Arial" w:hAnsi="Arial" w:cs="Arial"/>
              </w:rPr>
              <w:t>4</w:t>
            </w:r>
          </w:p>
        </w:tc>
        <w:tc>
          <w:tcPr>
            <w:tcW w:w="1744" w:type="dxa"/>
            <w:tcBorders>
              <w:top w:val="nil"/>
              <w:left w:val="nil"/>
              <w:bottom w:val="nil"/>
              <w:right w:val="single" w:sz="2" w:space="0" w:color="BFBFBF" w:themeColor="background1" w:themeShade="BF"/>
            </w:tcBorders>
            <w:vAlign w:val="center"/>
          </w:tcPr>
          <w:p w14:paraId="08C4FBA3" w14:textId="108D118F"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+1</w:t>
            </w:r>
            <w:r w:rsidR="00766238">
              <w:rPr>
                <w:rFonts w:ascii="Arial" w:hAnsi="Arial" w:cs="Arial"/>
              </w:rPr>
              <w:t>,</w:t>
            </w:r>
            <w:r w:rsidRPr="004901D5">
              <w:rPr>
                <w:rFonts w:ascii="Arial" w:hAnsi="Arial" w:cs="Arial"/>
              </w:rPr>
              <w:t>1%</w:t>
            </w:r>
          </w:p>
        </w:tc>
      </w:tr>
      <w:tr w:rsidR="002F30F8" w:rsidRPr="00D83072" w14:paraId="30098C09" w14:textId="77777777" w:rsidTr="0020449E">
        <w:trPr>
          <w:trHeight w:val="292"/>
        </w:trPr>
        <w:tc>
          <w:tcPr>
            <w:tcW w:w="5726" w:type="dxa"/>
            <w:tcBorders>
              <w:top w:val="nil"/>
              <w:bottom w:val="nil"/>
              <w:right w:val="single" w:sz="2" w:space="0" w:color="BFBFBF" w:themeColor="background1" w:themeShade="BF"/>
            </w:tcBorders>
            <w:vAlign w:val="center"/>
          </w:tcPr>
          <w:p w14:paraId="117D0C19" w14:textId="7CEF0005" w:rsidR="002F30F8" w:rsidRPr="00CC5811" w:rsidRDefault="002F30F8" w:rsidP="002F30F8">
            <w:pPr>
              <w:pStyle w:val="ColorfulList-Accent11"/>
              <w:tabs>
                <w:tab w:val="left" w:pos="0"/>
                <w:tab w:val="left" w:pos="284"/>
              </w:tabs>
              <w:ind w:left="0" w:right="-90"/>
              <w:jc w:val="right"/>
              <w:rPr>
                <w:rFonts w:ascii="Arial" w:hAnsi="Arial" w:cs="Arial"/>
                <w:i/>
                <w:color w:val="000000" w:themeColor="text1"/>
              </w:rPr>
            </w:pPr>
            <w:r>
              <w:rPr>
                <w:rFonts w:ascii="Arial" w:hAnsi="Arial" w:cs="Arial"/>
                <w:i/>
                <w:color w:val="000000" w:themeColor="text1"/>
                <w:lang w:val="el-GR"/>
              </w:rPr>
              <w:t xml:space="preserve">συμπ. </w:t>
            </w:r>
            <w:r>
              <w:rPr>
                <w:rFonts w:ascii="Arial" w:hAnsi="Arial" w:cs="Arial"/>
                <w:i/>
                <w:color w:val="000000" w:themeColor="text1"/>
              </w:rPr>
              <w:t>Data Com</w:t>
            </w:r>
            <w:r w:rsidRPr="00A14889">
              <w:rPr>
                <w:rFonts w:ascii="Arial" w:hAnsi="Arial" w:cs="Arial"/>
                <w:i/>
                <w:color w:val="000000" w:themeColor="text1"/>
              </w:rPr>
              <w:t>.</w:t>
            </w:r>
          </w:p>
        </w:tc>
        <w:tc>
          <w:tcPr>
            <w:tcW w:w="1563" w:type="dxa"/>
            <w:tcBorders>
              <w:top w:val="nil"/>
              <w:left w:val="single" w:sz="2" w:space="0" w:color="BFBFBF" w:themeColor="background1" w:themeShade="BF"/>
              <w:bottom w:val="nil"/>
              <w:right w:val="nil"/>
            </w:tcBorders>
            <w:vAlign w:val="center"/>
          </w:tcPr>
          <w:p w14:paraId="0545C2CC" w14:textId="5CEBE3EC" w:rsidR="002F30F8" w:rsidRPr="00D83072" w:rsidRDefault="002F30F8" w:rsidP="002F30F8">
            <w:pPr>
              <w:pStyle w:val="ColorfulList-Accent11"/>
              <w:tabs>
                <w:tab w:val="left" w:pos="0"/>
                <w:tab w:val="left" w:pos="284"/>
              </w:tabs>
              <w:ind w:left="0" w:right="-90"/>
              <w:jc w:val="center"/>
              <w:rPr>
                <w:rFonts w:ascii="Arial" w:hAnsi="Arial" w:cs="Arial"/>
                <w:i/>
                <w:color w:val="FF0000"/>
              </w:rPr>
            </w:pPr>
            <w:r w:rsidRPr="004901D5">
              <w:rPr>
                <w:rFonts w:ascii="Arial" w:hAnsi="Arial" w:cs="Arial"/>
              </w:rPr>
              <w:t>258</w:t>
            </w:r>
            <w:r w:rsidR="00766238">
              <w:rPr>
                <w:rFonts w:ascii="Arial" w:hAnsi="Arial" w:cs="Arial"/>
              </w:rPr>
              <w:t>,</w:t>
            </w:r>
            <w:r w:rsidRPr="004901D5">
              <w:rPr>
                <w:rFonts w:ascii="Arial" w:hAnsi="Arial" w:cs="Arial"/>
              </w:rPr>
              <w:t>0</w:t>
            </w:r>
          </w:p>
        </w:tc>
        <w:tc>
          <w:tcPr>
            <w:tcW w:w="1622" w:type="dxa"/>
            <w:tcBorders>
              <w:top w:val="nil"/>
              <w:left w:val="nil"/>
              <w:bottom w:val="nil"/>
              <w:right w:val="nil"/>
            </w:tcBorders>
            <w:vAlign w:val="center"/>
          </w:tcPr>
          <w:p w14:paraId="604EC9EC" w14:textId="1C3B5379" w:rsidR="002F30F8" w:rsidRPr="00D83072" w:rsidRDefault="002F30F8" w:rsidP="002F30F8">
            <w:pPr>
              <w:pStyle w:val="ColorfulList-Accent11"/>
              <w:tabs>
                <w:tab w:val="left" w:pos="0"/>
                <w:tab w:val="left" w:pos="284"/>
              </w:tabs>
              <w:ind w:left="0" w:right="-90"/>
              <w:jc w:val="center"/>
              <w:rPr>
                <w:rFonts w:ascii="Arial" w:hAnsi="Arial" w:cs="Arial"/>
                <w:i/>
                <w:color w:val="FF0000"/>
              </w:rPr>
            </w:pPr>
            <w:r w:rsidRPr="004901D5">
              <w:rPr>
                <w:rFonts w:ascii="Arial" w:hAnsi="Arial" w:cs="Arial"/>
              </w:rPr>
              <w:t>253</w:t>
            </w:r>
            <w:r w:rsidR="00766238">
              <w:rPr>
                <w:rFonts w:ascii="Arial" w:hAnsi="Arial" w:cs="Arial"/>
              </w:rPr>
              <w:t>,</w:t>
            </w:r>
            <w:r w:rsidRPr="004901D5">
              <w:rPr>
                <w:rFonts w:ascii="Arial" w:hAnsi="Arial" w:cs="Arial"/>
              </w:rPr>
              <w:t>8</w:t>
            </w:r>
          </w:p>
        </w:tc>
        <w:tc>
          <w:tcPr>
            <w:tcW w:w="1744" w:type="dxa"/>
            <w:tcBorders>
              <w:top w:val="nil"/>
              <w:left w:val="nil"/>
              <w:bottom w:val="nil"/>
              <w:right w:val="single" w:sz="2" w:space="0" w:color="BFBFBF" w:themeColor="background1" w:themeShade="BF"/>
            </w:tcBorders>
            <w:vAlign w:val="center"/>
          </w:tcPr>
          <w:p w14:paraId="49A55D51" w14:textId="7078D593" w:rsidR="002F30F8" w:rsidRPr="00D83072" w:rsidRDefault="002F30F8" w:rsidP="002F30F8">
            <w:pPr>
              <w:pStyle w:val="ColorfulList-Accent11"/>
              <w:tabs>
                <w:tab w:val="left" w:pos="0"/>
                <w:tab w:val="left" w:pos="284"/>
              </w:tabs>
              <w:ind w:left="0" w:right="-90"/>
              <w:jc w:val="center"/>
              <w:rPr>
                <w:rFonts w:ascii="Arial" w:hAnsi="Arial" w:cs="Arial"/>
                <w:i/>
                <w:color w:val="FF0000"/>
              </w:rPr>
            </w:pPr>
            <w:r w:rsidRPr="004901D5">
              <w:rPr>
                <w:rFonts w:ascii="Arial" w:hAnsi="Arial" w:cs="Arial"/>
              </w:rPr>
              <w:t>+1</w:t>
            </w:r>
            <w:r w:rsidR="00766238">
              <w:rPr>
                <w:rFonts w:ascii="Arial" w:hAnsi="Arial" w:cs="Arial"/>
              </w:rPr>
              <w:t>,</w:t>
            </w:r>
            <w:r w:rsidRPr="004901D5">
              <w:rPr>
                <w:rFonts w:ascii="Arial" w:hAnsi="Arial" w:cs="Arial"/>
              </w:rPr>
              <w:t>7%</w:t>
            </w:r>
          </w:p>
        </w:tc>
      </w:tr>
      <w:tr w:rsidR="002F30F8" w:rsidRPr="00D83072" w14:paraId="40A61E89" w14:textId="77777777" w:rsidTr="0020449E">
        <w:trPr>
          <w:trHeight w:val="292"/>
        </w:trPr>
        <w:tc>
          <w:tcPr>
            <w:tcW w:w="5726" w:type="dxa"/>
            <w:tcBorders>
              <w:top w:val="nil"/>
              <w:bottom w:val="nil"/>
              <w:right w:val="single" w:sz="2" w:space="0" w:color="BFBFBF" w:themeColor="background1" w:themeShade="BF"/>
            </w:tcBorders>
            <w:vAlign w:val="center"/>
          </w:tcPr>
          <w:p w14:paraId="794E1314" w14:textId="77777777" w:rsidR="002F30F8" w:rsidRPr="00CC5811" w:rsidRDefault="002F30F8" w:rsidP="002F30F8">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από υπηρεσίες κινητής</w:t>
            </w:r>
          </w:p>
        </w:tc>
        <w:tc>
          <w:tcPr>
            <w:tcW w:w="1563" w:type="dxa"/>
            <w:tcBorders>
              <w:top w:val="nil"/>
              <w:left w:val="single" w:sz="2" w:space="0" w:color="BFBFBF" w:themeColor="background1" w:themeShade="BF"/>
              <w:bottom w:val="nil"/>
              <w:right w:val="nil"/>
            </w:tcBorders>
            <w:vAlign w:val="center"/>
          </w:tcPr>
          <w:p w14:paraId="433ECFFD" w14:textId="179DA45A"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257</w:t>
            </w:r>
            <w:r w:rsidR="00766238">
              <w:rPr>
                <w:rFonts w:ascii="Arial" w:hAnsi="Arial" w:cs="Arial"/>
              </w:rPr>
              <w:t>,</w:t>
            </w:r>
            <w:r w:rsidRPr="004901D5">
              <w:rPr>
                <w:rFonts w:ascii="Arial" w:hAnsi="Arial" w:cs="Arial"/>
              </w:rPr>
              <w:t>9</w:t>
            </w:r>
          </w:p>
        </w:tc>
        <w:tc>
          <w:tcPr>
            <w:tcW w:w="1622" w:type="dxa"/>
            <w:tcBorders>
              <w:top w:val="nil"/>
              <w:left w:val="nil"/>
              <w:bottom w:val="nil"/>
              <w:right w:val="nil"/>
            </w:tcBorders>
            <w:vAlign w:val="center"/>
          </w:tcPr>
          <w:p w14:paraId="5BBE0223" w14:textId="239E4EF9"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244</w:t>
            </w:r>
            <w:r w:rsidR="00766238">
              <w:rPr>
                <w:rFonts w:ascii="Arial" w:hAnsi="Arial" w:cs="Arial"/>
              </w:rPr>
              <w:t>,</w:t>
            </w:r>
            <w:r w:rsidRPr="004901D5">
              <w:rPr>
                <w:rFonts w:ascii="Arial" w:hAnsi="Arial" w:cs="Arial"/>
              </w:rPr>
              <w:t>5</w:t>
            </w:r>
          </w:p>
        </w:tc>
        <w:tc>
          <w:tcPr>
            <w:tcW w:w="1744" w:type="dxa"/>
            <w:tcBorders>
              <w:top w:val="nil"/>
              <w:left w:val="nil"/>
              <w:bottom w:val="nil"/>
              <w:right w:val="single" w:sz="2" w:space="0" w:color="BFBFBF" w:themeColor="background1" w:themeShade="BF"/>
            </w:tcBorders>
            <w:vAlign w:val="center"/>
          </w:tcPr>
          <w:p w14:paraId="2364E1C4" w14:textId="72E289A8"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+5</w:t>
            </w:r>
            <w:r w:rsidR="00766238">
              <w:rPr>
                <w:rFonts w:ascii="Arial" w:hAnsi="Arial" w:cs="Arial"/>
              </w:rPr>
              <w:t>,</w:t>
            </w:r>
            <w:r w:rsidRPr="004901D5">
              <w:rPr>
                <w:rFonts w:ascii="Arial" w:hAnsi="Arial" w:cs="Arial"/>
              </w:rPr>
              <w:t>5%</w:t>
            </w:r>
          </w:p>
        </w:tc>
      </w:tr>
      <w:tr w:rsidR="002F30F8" w:rsidRPr="00D83072" w14:paraId="1E7D28A1" w14:textId="77777777" w:rsidTr="0020449E">
        <w:trPr>
          <w:trHeight w:val="292"/>
        </w:trPr>
        <w:tc>
          <w:tcPr>
            <w:tcW w:w="5726" w:type="dxa"/>
            <w:tcBorders>
              <w:top w:val="nil"/>
              <w:bottom w:val="nil"/>
              <w:right w:val="single" w:sz="2" w:space="0" w:color="BFBFBF" w:themeColor="background1" w:themeShade="BF"/>
            </w:tcBorders>
            <w:vAlign w:val="center"/>
          </w:tcPr>
          <w:p w14:paraId="3FEE3879" w14:textId="77777777" w:rsidR="002F30F8" w:rsidRPr="00CC5811" w:rsidRDefault="002F30F8" w:rsidP="002F30F8">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χονδρικής</w:t>
            </w:r>
          </w:p>
        </w:tc>
        <w:tc>
          <w:tcPr>
            <w:tcW w:w="1563" w:type="dxa"/>
            <w:tcBorders>
              <w:top w:val="nil"/>
              <w:left w:val="single" w:sz="2" w:space="0" w:color="BFBFBF" w:themeColor="background1" w:themeShade="BF"/>
              <w:bottom w:val="nil"/>
              <w:right w:val="nil"/>
            </w:tcBorders>
            <w:vAlign w:val="center"/>
          </w:tcPr>
          <w:p w14:paraId="30F95778" w14:textId="49BC3AF7"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85</w:t>
            </w:r>
            <w:r w:rsidR="00766238">
              <w:rPr>
                <w:rFonts w:ascii="Arial" w:hAnsi="Arial" w:cs="Arial"/>
              </w:rPr>
              <w:t>,</w:t>
            </w:r>
            <w:r w:rsidRPr="004901D5">
              <w:rPr>
                <w:rFonts w:ascii="Arial" w:hAnsi="Arial" w:cs="Arial"/>
              </w:rPr>
              <w:t>5</w:t>
            </w:r>
          </w:p>
        </w:tc>
        <w:tc>
          <w:tcPr>
            <w:tcW w:w="1622" w:type="dxa"/>
            <w:tcBorders>
              <w:top w:val="nil"/>
              <w:left w:val="nil"/>
              <w:bottom w:val="nil"/>
              <w:right w:val="nil"/>
            </w:tcBorders>
            <w:vAlign w:val="center"/>
          </w:tcPr>
          <w:p w14:paraId="689D6471" w14:textId="03959221"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141</w:t>
            </w:r>
            <w:r w:rsidR="00766238">
              <w:rPr>
                <w:rFonts w:ascii="Arial" w:hAnsi="Arial" w:cs="Arial"/>
              </w:rPr>
              <w:t>,</w:t>
            </w:r>
            <w:r w:rsidRPr="004901D5">
              <w:rPr>
                <w:rFonts w:ascii="Arial" w:hAnsi="Arial" w:cs="Arial"/>
              </w:rPr>
              <w:t>8</w:t>
            </w:r>
          </w:p>
        </w:tc>
        <w:tc>
          <w:tcPr>
            <w:tcW w:w="1744" w:type="dxa"/>
            <w:tcBorders>
              <w:top w:val="nil"/>
              <w:left w:val="nil"/>
              <w:bottom w:val="nil"/>
              <w:right w:val="single" w:sz="2" w:space="0" w:color="BFBFBF" w:themeColor="background1" w:themeShade="BF"/>
            </w:tcBorders>
            <w:vAlign w:val="center"/>
          </w:tcPr>
          <w:p w14:paraId="792338AF" w14:textId="3BF9E5FD"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-39</w:t>
            </w:r>
            <w:r w:rsidR="00766238">
              <w:rPr>
                <w:rFonts w:ascii="Arial" w:hAnsi="Arial" w:cs="Arial"/>
              </w:rPr>
              <w:t>,</w:t>
            </w:r>
            <w:r w:rsidRPr="004901D5">
              <w:rPr>
                <w:rFonts w:ascii="Arial" w:hAnsi="Arial" w:cs="Arial"/>
              </w:rPr>
              <w:t>7%</w:t>
            </w:r>
          </w:p>
        </w:tc>
      </w:tr>
      <w:tr w:rsidR="002F30F8" w:rsidRPr="00D83072" w14:paraId="5745A9AC" w14:textId="77777777" w:rsidTr="0020449E">
        <w:trPr>
          <w:trHeight w:val="292"/>
        </w:trPr>
        <w:tc>
          <w:tcPr>
            <w:tcW w:w="5726" w:type="dxa"/>
            <w:tcBorders>
              <w:top w:val="nil"/>
              <w:bottom w:val="nil"/>
              <w:right w:val="single" w:sz="2" w:space="0" w:color="BFBFBF" w:themeColor="background1" w:themeShade="BF"/>
            </w:tcBorders>
            <w:vAlign w:val="center"/>
          </w:tcPr>
          <w:p w14:paraId="428C6A93" w14:textId="77777777" w:rsidR="002F30F8" w:rsidRPr="00CC5811" w:rsidRDefault="002F30F8" w:rsidP="002F30F8">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Λοιπά Έσοδα</w:t>
            </w:r>
          </w:p>
        </w:tc>
        <w:tc>
          <w:tcPr>
            <w:tcW w:w="1563" w:type="dxa"/>
            <w:tcBorders>
              <w:top w:val="nil"/>
              <w:left w:val="single" w:sz="2" w:space="0" w:color="BFBFBF" w:themeColor="background1" w:themeShade="BF"/>
              <w:bottom w:val="nil"/>
              <w:right w:val="nil"/>
            </w:tcBorders>
            <w:vAlign w:val="center"/>
          </w:tcPr>
          <w:p w14:paraId="1FE16B30" w14:textId="72A1E026"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283</w:t>
            </w:r>
            <w:r w:rsidR="00766238">
              <w:rPr>
                <w:rFonts w:ascii="Arial" w:hAnsi="Arial" w:cs="Arial"/>
              </w:rPr>
              <w:t>,</w:t>
            </w:r>
            <w:r w:rsidRPr="004901D5">
              <w:rPr>
                <w:rFonts w:ascii="Arial" w:hAnsi="Arial" w:cs="Arial"/>
              </w:rPr>
              <w:t>1</w:t>
            </w:r>
          </w:p>
        </w:tc>
        <w:tc>
          <w:tcPr>
            <w:tcW w:w="1622" w:type="dxa"/>
            <w:tcBorders>
              <w:top w:val="nil"/>
              <w:left w:val="nil"/>
              <w:bottom w:val="nil"/>
              <w:right w:val="nil"/>
            </w:tcBorders>
            <w:vAlign w:val="center"/>
          </w:tcPr>
          <w:p w14:paraId="25D9C57D" w14:textId="57DCC994"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202</w:t>
            </w:r>
            <w:r w:rsidR="00766238">
              <w:rPr>
                <w:rFonts w:ascii="Arial" w:hAnsi="Arial" w:cs="Arial"/>
              </w:rPr>
              <w:t>,</w:t>
            </w:r>
            <w:r w:rsidRPr="004901D5">
              <w:rPr>
                <w:rFonts w:ascii="Arial" w:hAnsi="Arial" w:cs="Arial"/>
              </w:rPr>
              <w:t>2</w:t>
            </w:r>
          </w:p>
        </w:tc>
        <w:tc>
          <w:tcPr>
            <w:tcW w:w="1744" w:type="dxa"/>
            <w:tcBorders>
              <w:top w:val="nil"/>
              <w:left w:val="nil"/>
              <w:bottom w:val="nil"/>
              <w:right w:val="single" w:sz="2" w:space="0" w:color="BFBFBF" w:themeColor="background1" w:themeShade="BF"/>
            </w:tcBorders>
            <w:vAlign w:val="center"/>
          </w:tcPr>
          <w:p w14:paraId="2E7A16F7" w14:textId="21805BA0" w:rsidR="002F30F8" w:rsidRPr="00D83072" w:rsidRDefault="002F30F8" w:rsidP="002F30F8">
            <w:pPr>
              <w:pStyle w:val="ColorfulList-Accent11"/>
              <w:tabs>
                <w:tab w:val="left" w:pos="0"/>
                <w:tab w:val="left" w:pos="284"/>
              </w:tabs>
              <w:ind w:left="0" w:right="-90"/>
              <w:jc w:val="center"/>
              <w:rPr>
                <w:rFonts w:ascii="Arial" w:hAnsi="Arial" w:cs="Arial"/>
                <w:color w:val="FF0000"/>
              </w:rPr>
            </w:pPr>
            <w:r w:rsidRPr="004901D5">
              <w:rPr>
                <w:rFonts w:ascii="Arial" w:hAnsi="Arial" w:cs="Arial"/>
              </w:rPr>
              <w:t>+40</w:t>
            </w:r>
            <w:r w:rsidR="00766238">
              <w:rPr>
                <w:rFonts w:ascii="Arial" w:hAnsi="Arial" w:cs="Arial"/>
              </w:rPr>
              <w:t>,</w:t>
            </w:r>
            <w:r w:rsidRPr="004901D5">
              <w:rPr>
                <w:rFonts w:ascii="Arial" w:hAnsi="Arial" w:cs="Arial"/>
              </w:rPr>
              <w:t>0%</w:t>
            </w:r>
          </w:p>
        </w:tc>
      </w:tr>
      <w:tr w:rsidR="002F30F8" w:rsidRPr="00D83072" w14:paraId="4155D131" w14:textId="77777777" w:rsidTr="0020449E">
        <w:trPr>
          <w:trHeight w:val="292"/>
        </w:trPr>
        <w:tc>
          <w:tcPr>
            <w:tcW w:w="5726" w:type="dxa"/>
            <w:tcBorders>
              <w:top w:val="nil"/>
              <w:bottom w:val="nil"/>
              <w:right w:val="single" w:sz="2" w:space="0" w:color="BFBFBF" w:themeColor="background1" w:themeShade="BF"/>
            </w:tcBorders>
            <w:vAlign w:val="center"/>
          </w:tcPr>
          <w:p w14:paraId="268B0D58" w14:textId="77E0AABC" w:rsidR="002F30F8" w:rsidRPr="00CC5811" w:rsidRDefault="002F30F8" w:rsidP="002F30F8">
            <w:pPr>
              <w:pStyle w:val="ColorfulList-Accent11"/>
              <w:tabs>
                <w:tab w:val="left" w:pos="0"/>
                <w:tab w:val="left" w:pos="284"/>
              </w:tabs>
              <w:ind w:left="0" w:right="-90"/>
              <w:jc w:val="right"/>
              <w:rPr>
                <w:rFonts w:ascii="Arial" w:hAnsi="Arial" w:cs="Arial"/>
                <w:i/>
                <w:color w:val="000000" w:themeColor="text1"/>
              </w:rPr>
            </w:pPr>
            <w:r>
              <w:rPr>
                <w:rFonts w:ascii="Arial" w:hAnsi="Arial" w:cs="Arial"/>
                <w:i/>
                <w:color w:val="000000" w:themeColor="text1"/>
                <w:lang w:val="el-GR"/>
              </w:rPr>
              <w:t>εκ των οποίων</w:t>
            </w:r>
            <w:r w:rsidRPr="00A14889">
              <w:rPr>
                <w:rFonts w:ascii="Arial" w:hAnsi="Arial" w:cs="Arial"/>
                <w:i/>
                <w:color w:val="000000" w:themeColor="text1"/>
              </w:rPr>
              <w:t xml:space="preserve"> System Solutions</w:t>
            </w:r>
          </w:p>
        </w:tc>
        <w:tc>
          <w:tcPr>
            <w:tcW w:w="1563" w:type="dxa"/>
            <w:tcBorders>
              <w:top w:val="nil"/>
              <w:left w:val="single" w:sz="2" w:space="0" w:color="BFBFBF" w:themeColor="background1" w:themeShade="BF"/>
              <w:bottom w:val="nil"/>
              <w:right w:val="nil"/>
            </w:tcBorders>
            <w:vAlign w:val="bottom"/>
          </w:tcPr>
          <w:p w14:paraId="3F8BA4FD" w14:textId="5FED082D" w:rsidR="002F30F8" w:rsidRPr="0049066B" w:rsidRDefault="002F30F8" w:rsidP="002F30F8">
            <w:pPr>
              <w:pStyle w:val="ColorfulList-Accent11"/>
              <w:tabs>
                <w:tab w:val="left" w:pos="0"/>
                <w:tab w:val="left" w:pos="284"/>
              </w:tabs>
              <w:ind w:left="0" w:right="-90"/>
              <w:jc w:val="center"/>
              <w:rPr>
                <w:rFonts w:ascii="Arial" w:hAnsi="Arial" w:cs="Arial"/>
                <w:i/>
                <w:color w:val="FF0000"/>
                <w:lang w:val="el-GR"/>
              </w:rPr>
            </w:pPr>
            <w:r w:rsidRPr="004901D5">
              <w:rPr>
                <w:rFonts w:ascii="Arial" w:hAnsi="Arial" w:cs="Arial"/>
                <w:i/>
                <w:iCs/>
                <w:lang w:eastAsia="el-GR"/>
              </w:rPr>
              <w:t>162</w:t>
            </w:r>
            <w:r w:rsidR="00766238">
              <w:rPr>
                <w:rFonts w:ascii="Arial" w:hAnsi="Arial" w:cs="Arial"/>
                <w:i/>
                <w:iCs/>
                <w:lang w:eastAsia="el-GR"/>
              </w:rPr>
              <w:t>,</w:t>
            </w:r>
            <w:r w:rsidRPr="004901D5">
              <w:rPr>
                <w:rFonts w:ascii="Arial" w:hAnsi="Arial" w:cs="Arial"/>
                <w:i/>
                <w:iCs/>
                <w:lang w:eastAsia="el-GR"/>
              </w:rPr>
              <w:t>0</w:t>
            </w:r>
          </w:p>
        </w:tc>
        <w:tc>
          <w:tcPr>
            <w:tcW w:w="1622" w:type="dxa"/>
            <w:tcBorders>
              <w:top w:val="nil"/>
              <w:left w:val="nil"/>
              <w:bottom w:val="nil"/>
              <w:right w:val="nil"/>
            </w:tcBorders>
            <w:vAlign w:val="bottom"/>
          </w:tcPr>
          <w:p w14:paraId="6B454457" w14:textId="229D1969" w:rsidR="002F30F8" w:rsidRPr="00D83072" w:rsidRDefault="002F30F8" w:rsidP="002F30F8">
            <w:pPr>
              <w:pStyle w:val="ColorfulList-Accent11"/>
              <w:tabs>
                <w:tab w:val="left" w:pos="0"/>
                <w:tab w:val="left" w:pos="284"/>
              </w:tabs>
              <w:ind w:left="0" w:right="-90"/>
              <w:jc w:val="center"/>
              <w:rPr>
                <w:rFonts w:ascii="Arial" w:hAnsi="Arial" w:cs="Arial"/>
                <w:i/>
                <w:color w:val="FF0000"/>
              </w:rPr>
            </w:pPr>
            <w:r w:rsidRPr="004901D5">
              <w:rPr>
                <w:rFonts w:ascii="Arial" w:hAnsi="Arial" w:cs="Arial"/>
                <w:i/>
                <w:iCs/>
                <w:lang w:eastAsia="el-GR"/>
              </w:rPr>
              <w:t>91</w:t>
            </w:r>
            <w:r w:rsidR="00766238">
              <w:rPr>
                <w:rFonts w:ascii="Arial" w:hAnsi="Arial" w:cs="Arial"/>
                <w:i/>
                <w:iCs/>
                <w:lang w:eastAsia="el-GR"/>
              </w:rPr>
              <w:t>,</w:t>
            </w:r>
            <w:r w:rsidRPr="004901D5">
              <w:rPr>
                <w:rFonts w:ascii="Arial" w:hAnsi="Arial" w:cs="Arial"/>
                <w:i/>
                <w:iCs/>
                <w:lang w:eastAsia="el-GR"/>
              </w:rPr>
              <w:t>9</w:t>
            </w:r>
          </w:p>
        </w:tc>
        <w:tc>
          <w:tcPr>
            <w:tcW w:w="1744" w:type="dxa"/>
            <w:tcBorders>
              <w:top w:val="nil"/>
              <w:left w:val="nil"/>
              <w:bottom w:val="nil"/>
              <w:right w:val="single" w:sz="2" w:space="0" w:color="BFBFBF" w:themeColor="background1" w:themeShade="BF"/>
            </w:tcBorders>
            <w:vAlign w:val="bottom"/>
          </w:tcPr>
          <w:p w14:paraId="5B5BB3EA" w14:textId="021BBBC0" w:rsidR="002F30F8" w:rsidRPr="00D83072" w:rsidRDefault="002F30F8" w:rsidP="002F30F8">
            <w:pPr>
              <w:pStyle w:val="ColorfulList-Accent11"/>
              <w:tabs>
                <w:tab w:val="left" w:pos="0"/>
                <w:tab w:val="left" w:pos="284"/>
              </w:tabs>
              <w:ind w:left="0" w:right="-90"/>
              <w:jc w:val="center"/>
              <w:rPr>
                <w:rFonts w:ascii="Arial" w:hAnsi="Arial" w:cs="Arial"/>
                <w:i/>
                <w:color w:val="FF0000"/>
              </w:rPr>
            </w:pPr>
            <w:r w:rsidRPr="004901D5">
              <w:rPr>
                <w:rFonts w:ascii="Arial" w:hAnsi="Arial" w:cs="Arial"/>
                <w:i/>
                <w:lang w:eastAsia="el-GR"/>
              </w:rPr>
              <w:t>+</w:t>
            </w:r>
            <w:r w:rsidRPr="004901D5">
              <w:rPr>
                <w:rFonts w:ascii="Arial" w:hAnsi="Arial" w:cs="Arial"/>
                <w:i/>
                <w:iCs/>
                <w:lang w:eastAsia="el-GR"/>
              </w:rPr>
              <w:t>76</w:t>
            </w:r>
            <w:r w:rsidR="00766238">
              <w:rPr>
                <w:rFonts w:ascii="Arial" w:hAnsi="Arial" w:cs="Arial"/>
                <w:i/>
                <w:iCs/>
                <w:lang w:eastAsia="el-GR"/>
              </w:rPr>
              <w:t>,</w:t>
            </w:r>
            <w:r w:rsidRPr="004901D5">
              <w:rPr>
                <w:rFonts w:ascii="Arial" w:hAnsi="Arial" w:cs="Arial"/>
                <w:i/>
                <w:iCs/>
                <w:lang w:eastAsia="el-GR"/>
              </w:rPr>
              <w:t>3</w:t>
            </w:r>
            <w:r w:rsidRPr="004901D5">
              <w:rPr>
                <w:rFonts w:ascii="Arial" w:hAnsi="Arial" w:cs="Arial"/>
                <w:i/>
                <w:lang w:eastAsia="el-GR"/>
              </w:rPr>
              <w:t>%</w:t>
            </w:r>
          </w:p>
        </w:tc>
      </w:tr>
      <w:tr w:rsidR="002F30F8" w:rsidRPr="00D83072" w14:paraId="46DC3670" w14:textId="77777777" w:rsidTr="0020449E">
        <w:trPr>
          <w:trHeight w:val="292"/>
        </w:trPr>
        <w:tc>
          <w:tcPr>
            <w:tcW w:w="5726" w:type="dxa"/>
            <w:tcBorders>
              <w:top w:val="nil"/>
              <w:bottom w:val="nil"/>
              <w:right w:val="single" w:sz="2" w:space="0" w:color="BFBFBF" w:themeColor="background1" w:themeShade="BF"/>
            </w:tcBorders>
            <w:shd w:val="clear" w:color="auto" w:fill="F2F2F2" w:themeFill="background1" w:themeFillShade="F2"/>
            <w:vAlign w:val="center"/>
          </w:tcPr>
          <w:p w14:paraId="1447095D" w14:textId="77777777" w:rsidR="002F30F8" w:rsidRPr="00CC5811" w:rsidRDefault="002F30F8" w:rsidP="002F30F8">
            <w:pPr>
              <w:pStyle w:val="ColorfulList-Accent11"/>
              <w:tabs>
                <w:tab w:val="left" w:pos="0"/>
                <w:tab w:val="left" w:pos="284"/>
              </w:tabs>
              <w:ind w:left="0" w:right="-90"/>
              <w:rPr>
                <w:rFonts w:ascii="Arial" w:hAnsi="Arial" w:cs="Arial"/>
                <w:b/>
                <w:color w:val="000000" w:themeColor="text1"/>
              </w:rPr>
            </w:pPr>
            <w:r>
              <w:rPr>
                <w:rFonts w:ascii="Arial" w:hAnsi="Arial" w:cs="Arial"/>
                <w:b/>
                <w:color w:val="000000" w:themeColor="text1"/>
                <w:lang w:val="el-GR"/>
              </w:rPr>
              <w:t>Προσαρμοσμένο</w:t>
            </w:r>
            <w:r w:rsidRPr="008263F5">
              <w:rPr>
                <w:rFonts w:ascii="Arial" w:hAnsi="Arial" w:cs="Arial"/>
                <w:b/>
                <w:color w:val="000000" w:themeColor="text1"/>
              </w:rPr>
              <w:t xml:space="preserve"> EBITDA (AL)</w:t>
            </w:r>
          </w:p>
        </w:tc>
        <w:tc>
          <w:tcPr>
            <w:tcW w:w="1563" w:type="dxa"/>
            <w:tcBorders>
              <w:top w:val="nil"/>
              <w:left w:val="single" w:sz="2" w:space="0" w:color="BFBFBF" w:themeColor="background1" w:themeShade="BF"/>
              <w:bottom w:val="nil"/>
              <w:right w:val="nil"/>
            </w:tcBorders>
            <w:shd w:val="clear" w:color="auto" w:fill="F2F2F2" w:themeFill="background1" w:themeFillShade="F2"/>
            <w:vAlign w:val="center"/>
          </w:tcPr>
          <w:p w14:paraId="043EEFFC" w14:textId="45815B4C" w:rsidR="002F30F8" w:rsidRPr="00D83072" w:rsidRDefault="002F30F8" w:rsidP="002F30F8">
            <w:pPr>
              <w:pStyle w:val="ColorfulList-Accent11"/>
              <w:tabs>
                <w:tab w:val="left" w:pos="0"/>
                <w:tab w:val="left" w:pos="284"/>
              </w:tabs>
              <w:ind w:left="0" w:right="-90"/>
              <w:jc w:val="center"/>
              <w:rPr>
                <w:rFonts w:ascii="Arial" w:hAnsi="Arial" w:cs="Arial"/>
                <w:b/>
                <w:color w:val="FF0000"/>
              </w:rPr>
            </w:pPr>
            <w:r w:rsidRPr="004901D5">
              <w:rPr>
                <w:rFonts w:ascii="Arial" w:hAnsi="Arial" w:cs="Arial"/>
                <w:b/>
                <w:bCs/>
              </w:rPr>
              <w:t>338</w:t>
            </w:r>
            <w:r w:rsidR="00766238">
              <w:rPr>
                <w:rFonts w:ascii="Arial" w:hAnsi="Arial" w:cs="Arial"/>
                <w:b/>
                <w:bCs/>
              </w:rPr>
              <w:t>,</w:t>
            </w:r>
            <w:r w:rsidRPr="004901D5">
              <w:rPr>
                <w:rFonts w:ascii="Arial" w:hAnsi="Arial" w:cs="Arial"/>
                <w:b/>
                <w:bCs/>
              </w:rPr>
              <w:t xml:space="preserve">4 </w:t>
            </w:r>
          </w:p>
        </w:tc>
        <w:tc>
          <w:tcPr>
            <w:tcW w:w="1622" w:type="dxa"/>
            <w:tcBorders>
              <w:top w:val="nil"/>
              <w:left w:val="nil"/>
              <w:bottom w:val="nil"/>
              <w:right w:val="nil"/>
            </w:tcBorders>
            <w:shd w:val="clear" w:color="auto" w:fill="F2F2F2" w:themeFill="background1" w:themeFillShade="F2"/>
            <w:vAlign w:val="center"/>
          </w:tcPr>
          <w:p w14:paraId="7D8936B0" w14:textId="05ADD2F3" w:rsidR="002F30F8" w:rsidRPr="00D83072" w:rsidRDefault="002F30F8" w:rsidP="002F30F8">
            <w:pPr>
              <w:pStyle w:val="ColorfulList-Accent11"/>
              <w:tabs>
                <w:tab w:val="left" w:pos="0"/>
                <w:tab w:val="left" w:pos="284"/>
              </w:tabs>
              <w:ind w:left="0" w:right="-90"/>
              <w:jc w:val="center"/>
              <w:rPr>
                <w:rFonts w:ascii="Arial" w:hAnsi="Arial" w:cs="Arial"/>
                <w:b/>
                <w:color w:val="FF0000"/>
              </w:rPr>
            </w:pPr>
            <w:r w:rsidRPr="004901D5">
              <w:rPr>
                <w:rFonts w:ascii="Arial" w:hAnsi="Arial" w:cs="Arial"/>
                <w:b/>
                <w:bCs/>
              </w:rPr>
              <w:t>329</w:t>
            </w:r>
            <w:r w:rsidR="00766238">
              <w:rPr>
                <w:rFonts w:ascii="Arial" w:hAnsi="Arial" w:cs="Arial"/>
                <w:b/>
              </w:rPr>
              <w:t>,</w:t>
            </w:r>
            <w:r w:rsidRPr="004901D5">
              <w:rPr>
                <w:rFonts w:ascii="Arial" w:hAnsi="Arial" w:cs="Arial"/>
                <w:b/>
              </w:rPr>
              <w:t xml:space="preserve">1 </w:t>
            </w:r>
          </w:p>
        </w:tc>
        <w:tc>
          <w:tcPr>
            <w:tcW w:w="1744" w:type="dxa"/>
            <w:tcBorders>
              <w:top w:val="nil"/>
              <w:left w:val="nil"/>
              <w:bottom w:val="nil"/>
              <w:right w:val="single" w:sz="2" w:space="0" w:color="BFBFBF" w:themeColor="background1" w:themeShade="BF"/>
            </w:tcBorders>
            <w:shd w:val="clear" w:color="auto" w:fill="F2F2F2" w:themeFill="background1" w:themeFillShade="F2"/>
            <w:vAlign w:val="center"/>
          </w:tcPr>
          <w:p w14:paraId="1403FB38" w14:textId="3F881521" w:rsidR="002F30F8" w:rsidRPr="00D83072" w:rsidRDefault="002F30F8" w:rsidP="002F30F8">
            <w:pPr>
              <w:pStyle w:val="ColorfulList-Accent11"/>
              <w:tabs>
                <w:tab w:val="left" w:pos="0"/>
                <w:tab w:val="left" w:pos="284"/>
              </w:tabs>
              <w:ind w:left="0" w:right="-90"/>
              <w:jc w:val="center"/>
              <w:rPr>
                <w:rFonts w:ascii="Arial" w:hAnsi="Arial" w:cs="Arial"/>
                <w:b/>
                <w:color w:val="FF0000"/>
              </w:rPr>
            </w:pPr>
            <w:r w:rsidRPr="004901D5">
              <w:rPr>
                <w:rFonts w:ascii="Arial" w:hAnsi="Arial" w:cs="Arial"/>
                <w:b/>
              </w:rPr>
              <w:t>+2</w:t>
            </w:r>
            <w:r w:rsidR="00766238">
              <w:rPr>
                <w:rFonts w:ascii="Arial" w:hAnsi="Arial" w:cs="Arial"/>
                <w:b/>
              </w:rPr>
              <w:t>,</w:t>
            </w:r>
            <w:r w:rsidRPr="004901D5">
              <w:rPr>
                <w:rFonts w:ascii="Arial" w:hAnsi="Arial" w:cs="Arial"/>
                <w:b/>
                <w:bCs/>
              </w:rPr>
              <w:t>8</w:t>
            </w:r>
            <w:r w:rsidRPr="004901D5">
              <w:rPr>
                <w:rFonts w:ascii="Arial" w:hAnsi="Arial" w:cs="Arial"/>
                <w:b/>
              </w:rPr>
              <w:t>%</w:t>
            </w:r>
          </w:p>
        </w:tc>
      </w:tr>
      <w:tr w:rsidR="002F30F8" w:rsidRPr="00D83072" w14:paraId="791C3C9A" w14:textId="77777777" w:rsidTr="0020449E">
        <w:trPr>
          <w:trHeight w:val="280"/>
        </w:trPr>
        <w:tc>
          <w:tcPr>
            <w:tcW w:w="5726" w:type="dxa"/>
            <w:tcBorders>
              <w:top w:val="nil"/>
              <w:bottom w:val="single" w:sz="2" w:space="0" w:color="808080" w:themeColor="background1" w:themeShade="80"/>
              <w:right w:val="single" w:sz="2" w:space="0" w:color="BFBFBF" w:themeColor="background1" w:themeShade="BF"/>
            </w:tcBorders>
            <w:shd w:val="clear" w:color="auto" w:fill="F2F2F2" w:themeFill="background1" w:themeFillShade="F2"/>
            <w:vAlign w:val="center"/>
          </w:tcPr>
          <w:p w14:paraId="09214EEB" w14:textId="77777777" w:rsidR="002F30F8" w:rsidRPr="00CC5811" w:rsidRDefault="002F30F8" w:rsidP="002F30F8">
            <w:pPr>
              <w:pStyle w:val="ColorfulList-Accent11"/>
              <w:tabs>
                <w:tab w:val="left" w:pos="0"/>
                <w:tab w:val="left" w:pos="284"/>
              </w:tabs>
              <w:ind w:left="0" w:right="-90"/>
              <w:rPr>
                <w:rFonts w:ascii="Arial" w:hAnsi="Arial" w:cs="Arial"/>
                <w:b/>
                <w:i/>
                <w:color w:val="000000" w:themeColor="text1"/>
              </w:rPr>
            </w:pPr>
            <w:r>
              <w:rPr>
                <w:rFonts w:ascii="Arial" w:hAnsi="Arial" w:cs="Arial"/>
                <w:b/>
                <w:i/>
                <w:color w:val="000000" w:themeColor="text1"/>
                <w:lang w:val="el-GR"/>
              </w:rPr>
              <w:t>Περιθώριο</w:t>
            </w:r>
            <w:r w:rsidRPr="008263F5">
              <w:rPr>
                <w:rFonts w:ascii="Arial" w:hAnsi="Arial" w:cs="Arial"/>
                <w:b/>
                <w:i/>
                <w:color w:val="000000" w:themeColor="text1"/>
              </w:rPr>
              <w:t xml:space="preserve"> (%)</w:t>
            </w:r>
          </w:p>
        </w:tc>
        <w:tc>
          <w:tcPr>
            <w:tcW w:w="1563" w:type="dxa"/>
            <w:tcBorders>
              <w:top w:val="nil"/>
              <w:left w:val="single" w:sz="2" w:space="0" w:color="BFBFBF" w:themeColor="background1" w:themeShade="BF"/>
              <w:bottom w:val="single" w:sz="2" w:space="0" w:color="808080" w:themeColor="background1" w:themeShade="80"/>
              <w:right w:val="nil"/>
            </w:tcBorders>
            <w:shd w:val="clear" w:color="auto" w:fill="F2F2F2" w:themeFill="background1" w:themeFillShade="F2"/>
            <w:vAlign w:val="center"/>
          </w:tcPr>
          <w:p w14:paraId="5DDD33E2" w14:textId="173068EF" w:rsidR="002F30F8" w:rsidRPr="00D83072" w:rsidRDefault="002F30F8" w:rsidP="002F30F8">
            <w:pPr>
              <w:pStyle w:val="ColorfulList-Accent11"/>
              <w:tabs>
                <w:tab w:val="left" w:pos="0"/>
                <w:tab w:val="left" w:pos="284"/>
              </w:tabs>
              <w:ind w:left="0" w:right="-90"/>
              <w:jc w:val="center"/>
              <w:rPr>
                <w:rFonts w:ascii="Arial" w:hAnsi="Arial" w:cs="Arial"/>
                <w:b/>
                <w:i/>
                <w:color w:val="FF0000"/>
              </w:rPr>
            </w:pPr>
            <w:r w:rsidRPr="004901D5">
              <w:rPr>
                <w:rFonts w:ascii="Arial" w:hAnsi="Arial" w:cs="Arial"/>
                <w:b/>
                <w:bCs/>
                <w:i/>
                <w:iCs/>
              </w:rPr>
              <w:t>39</w:t>
            </w:r>
            <w:r w:rsidR="00766238">
              <w:rPr>
                <w:rFonts w:ascii="Arial" w:hAnsi="Arial" w:cs="Arial"/>
                <w:b/>
                <w:bCs/>
                <w:i/>
                <w:iCs/>
              </w:rPr>
              <w:t>,</w:t>
            </w:r>
            <w:r w:rsidRPr="004901D5">
              <w:rPr>
                <w:rFonts w:ascii="Arial" w:hAnsi="Arial" w:cs="Arial"/>
                <w:b/>
                <w:bCs/>
                <w:i/>
                <w:iCs/>
              </w:rPr>
              <w:t>4%</w:t>
            </w:r>
          </w:p>
        </w:tc>
        <w:tc>
          <w:tcPr>
            <w:tcW w:w="1622" w:type="dxa"/>
            <w:tcBorders>
              <w:top w:val="nil"/>
              <w:left w:val="nil"/>
              <w:bottom w:val="single" w:sz="2" w:space="0" w:color="808080" w:themeColor="background1" w:themeShade="80"/>
              <w:right w:val="nil"/>
            </w:tcBorders>
            <w:shd w:val="clear" w:color="auto" w:fill="F2F2F2" w:themeFill="background1" w:themeFillShade="F2"/>
            <w:vAlign w:val="center"/>
          </w:tcPr>
          <w:p w14:paraId="0A1C4CE2" w14:textId="3BC618DE" w:rsidR="002F30F8" w:rsidRPr="00D83072" w:rsidRDefault="002F30F8" w:rsidP="002F30F8">
            <w:pPr>
              <w:pStyle w:val="ColorfulList-Accent11"/>
              <w:tabs>
                <w:tab w:val="left" w:pos="0"/>
                <w:tab w:val="left" w:pos="284"/>
              </w:tabs>
              <w:ind w:left="0" w:right="-90"/>
              <w:jc w:val="center"/>
              <w:rPr>
                <w:rFonts w:ascii="Arial" w:hAnsi="Arial" w:cs="Arial"/>
                <w:b/>
                <w:i/>
                <w:color w:val="FF0000"/>
              </w:rPr>
            </w:pPr>
            <w:r w:rsidRPr="004901D5">
              <w:rPr>
                <w:rFonts w:ascii="Arial" w:hAnsi="Arial" w:cs="Arial"/>
                <w:b/>
                <w:i/>
              </w:rPr>
              <w:t>40</w:t>
            </w:r>
            <w:r w:rsidR="00766238">
              <w:rPr>
                <w:rFonts w:ascii="Arial" w:hAnsi="Arial" w:cs="Arial"/>
                <w:b/>
                <w:i/>
              </w:rPr>
              <w:t>,</w:t>
            </w:r>
            <w:r w:rsidRPr="004901D5">
              <w:rPr>
                <w:rFonts w:ascii="Arial" w:hAnsi="Arial" w:cs="Arial"/>
                <w:b/>
                <w:bCs/>
                <w:i/>
                <w:iCs/>
              </w:rPr>
              <w:t>2</w:t>
            </w:r>
            <w:r w:rsidRPr="004901D5">
              <w:rPr>
                <w:rFonts w:ascii="Arial" w:hAnsi="Arial" w:cs="Arial"/>
                <w:b/>
                <w:i/>
              </w:rPr>
              <w:t>%</w:t>
            </w:r>
          </w:p>
        </w:tc>
        <w:tc>
          <w:tcPr>
            <w:tcW w:w="1744" w:type="dxa"/>
            <w:tcBorders>
              <w:top w:val="nil"/>
              <w:left w:val="nil"/>
              <w:bottom w:val="single" w:sz="2" w:space="0" w:color="808080" w:themeColor="background1" w:themeShade="80"/>
              <w:right w:val="single" w:sz="2" w:space="0" w:color="BFBFBF" w:themeColor="background1" w:themeShade="BF"/>
            </w:tcBorders>
            <w:shd w:val="clear" w:color="auto" w:fill="F2F2F2" w:themeFill="background1" w:themeFillShade="F2"/>
            <w:vAlign w:val="center"/>
          </w:tcPr>
          <w:p w14:paraId="7ABE1D2A" w14:textId="6642715C" w:rsidR="002F30F8" w:rsidRPr="00933233" w:rsidRDefault="002F30F8" w:rsidP="002F30F8">
            <w:pPr>
              <w:pStyle w:val="ColorfulList-Accent11"/>
              <w:tabs>
                <w:tab w:val="left" w:pos="0"/>
                <w:tab w:val="left" w:pos="284"/>
              </w:tabs>
              <w:ind w:left="0" w:right="-90"/>
              <w:jc w:val="center"/>
              <w:rPr>
                <w:rFonts w:ascii="Arial" w:hAnsi="Arial" w:cs="Arial"/>
                <w:b/>
                <w:i/>
                <w:color w:val="FF0000"/>
                <w:lang w:val="el-GR"/>
              </w:rPr>
            </w:pPr>
            <w:r w:rsidRPr="004901D5">
              <w:rPr>
                <w:rFonts w:ascii="Arial" w:hAnsi="Arial" w:cs="Arial"/>
                <w:b/>
                <w:bCs/>
                <w:i/>
                <w:iCs/>
              </w:rPr>
              <w:t>-0</w:t>
            </w:r>
            <w:r w:rsidR="00766238">
              <w:rPr>
                <w:rFonts w:ascii="Arial" w:hAnsi="Arial" w:cs="Arial"/>
                <w:b/>
                <w:bCs/>
                <w:i/>
                <w:iCs/>
              </w:rPr>
              <w:t>,</w:t>
            </w:r>
            <w:r w:rsidRPr="004901D5">
              <w:rPr>
                <w:rFonts w:ascii="Arial" w:hAnsi="Arial" w:cs="Arial"/>
                <w:b/>
                <w:bCs/>
                <w:i/>
                <w:iCs/>
              </w:rPr>
              <w:t>8</w:t>
            </w:r>
            <w:r w:rsidR="00987D1E">
              <w:rPr>
                <w:rFonts w:ascii="Arial" w:hAnsi="Arial" w:cs="Arial"/>
                <w:b/>
                <w:bCs/>
                <w:i/>
                <w:iCs/>
                <w:lang w:val="el-GR"/>
              </w:rPr>
              <w:t xml:space="preserve"> μον</w:t>
            </w:r>
          </w:p>
        </w:tc>
      </w:tr>
    </w:tbl>
    <w:p w14:paraId="176AFB5D" w14:textId="04DD3010" w:rsidR="00ED2EDE" w:rsidRDefault="00D739F0" w:rsidP="00560FD7">
      <w:pPr>
        <w:pStyle w:val="ListParagraph"/>
        <w:numPr>
          <w:ilvl w:val="0"/>
          <w:numId w:val="31"/>
        </w:numPr>
        <w:spacing w:before="120" w:line="280" w:lineRule="exact"/>
        <w:ind w:left="284" w:hanging="284"/>
        <w:jc w:val="both"/>
        <w:rPr>
          <w:rFonts w:ascii="Arial" w:hAnsi="Arial" w:cs="Arial"/>
          <w:sz w:val="22"/>
          <w:lang w:val="el-GR"/>
        </w:rPr>
      </w:pPr>
      <w:r w:rsidRPr="001062B9">
        <w:rPr>
          <w:rFonts w:ascii="Arial" w:hAnsi="Arial" w:cs="Arial"/>
          <w:b/>
          <w:bCs/>
          <w:sz w:val="22"/>
          <w:lang w:val="el-GR"/>
        </w:rPr>
        <w:t xml:space="preserve">Τα </w:t>
      </w:r>
      <w:r w:rsidR="00F925FC" w:rsidRPr="001062B9">
        <w:rPr>
          <w:rFonts w:ascii="Arial" w:hAnsi="Arial" w:cs="Arial"/>
          <w:b/>
          <w:bCs/>
          <w:sz w:val="22"/>
          <w:lang w:val="el-GR"/>
        </w:rPr>
        <w:t>έσοδα</w:t>
      </w:r>
      <w:r w:rsidRPr="001062B9">
        <w:rPr>
          <w:rFonts w:ascii="Arial" w:hAnsi="Arial" w:cs="Arial"/>
          <w:b/>
          <w:bCs/>
          <w:sz w:val="22"/>
          <w:lang w:val="el-GR"/>
        </w:rPr>
        <w:t xml:space="preserve"> </w:t>
      </w:r>
      <w:r w:rsidR="00FF3775" w:rsidRPr="001062B9">
        <w:rPr>
          <w:rFonts w:ascii="Arial" w:hAnsi="Arial" w:cs="Arial"/>
          <w:sz w:val="22"/>
          <w:lang w:val="el-GR"/>
        </w:rPr>
        <w:t>τ</w:t>
      </w:r>
      <w:r w:rsidR="00D7271A" w:rsidRPr="001062B9">
        <w:rPr>
          <w:rFonts w:ascii="Arial" w:hAnsi="Arial" w:cs="Arial"/>
          <w:sz w:val="22"/>
          <w:lang w:val="el-GR"/>
        </w:rPr>
        <w:t xml:space="preserve">ο </w:t>
      </w:r>
      <w:r w:rsidR="00836A79" w:rsidRPr="001062B9">
        <w:rPr>
          <w:rFonts w:ascii="Arial" w:hAnsi="Arial" w:cs="Arial"/>
          <w:sz w:val="22"/>
          <w:lang w:val="el-GR"/>
        </w:rPr>
        <w:t>Α</w:t>
      </w:r>
      <w:r w:rsidR="009E285A" w:rsidRPr="001062B9">
        <w:rPr>
          <w:rFonts w:ascii="Arial" w:hAnsi="Arial" w:cs="Arial"/>
          <w:sz w:val="22"/>
          <w:lang w:val="el-GR"/>
        </w:rPr>
        <w:t>’ τρίμηνο του 202</w:t>
      </w:r>
      <w:r w:rsidR="00836A79" w:rsidRPr="001062B9">
        <w:rPr>
          <w:rFonts w:ascii="Arial" w:hAnsi="Arial" w:cs="Arial"/>
          <w:sz w:val="22"/>
          <w:lang w:val="el-GR"/>
        </w:rPr>
        <w:t>6</w:t>
      </w:r>
      <w:r w:rsidR="009B0FF7" w:rsidRPr="001062B9">
        <w:rPr>
          <w:rFonts w:ascii="Arial" w:hAnsi="Arial" w:cs="Arial"/>
          <w:sz w:val="22"/>
          <w:lang w:val="el-GR"/>
        </w:rPr>
        <w:t xml:space="preserve"> </w:t>
      </w:r>
      <w:r w:rsidR="00970A4F" w:rsidRPr="001062B9">
        <w:rPr>
          <w:rFonts w:ascii="Arial" w:hAnsi="Arial" w:cs="Arial"/>
          <w:sz w:val="22"/>
          <w:lang w:val="el-GR"/>
        </w:rPr>
        <w:t>ανήλθαν</w:t>
      </w:r>
      <w:r w:rsidR="00A73516" w:rsidRPr="001062B9">
        <w:rPr>
          <w:rFonts w:ascii="Arial" w:hAnsi="Arial" w:cs="Arial"/>
          <w:sz w:val="22"/>
          <w:lang w:val="el-GR"/>
        </w:rPr>
        <w:t xml:space="preserve"> σ</w:t>
      </w:r>
      <w:r w:rsidR="00F028FD" w:rsidRPr="001062B9">
        <w:rPr>
          <w:rFonts w:ascii="Arial" w:hAnsi="Arial" w:cs="Arial"/>
          <w:sz w:val="22"/>
          <w:lang w:val="el-GR"/>
        </w:rPr>
        <w:t>ε</w:t>
      </w:r>
      <w:r w:rsidR="00A73516" w:rsidRPr="001062B9">
        <w:rPr>
          <w:rFonts w:ascii="Arial" w:hAnsi="Arial" w:cs="Arial"/>
          <w:sz w:val="22"/>
          <w:lang w:val="el-GR"/>
        </w:rPr>
        <w:t xml:space="preserve"> €</w:t>
      </w:r>
      <w:r w:rsidR="00836A79" w:rsidRPr="001062B9">
        <w:rPr>
          <w:rFonts w:ascii="Arial" w:hAnsi="Arial" w:cs="Arial"/>
          <w:sz w:val="22"/>
          <w:lang w:val="el-GR"/>
        </w:rPr>
        <w:t>859,4</w:t>
      </w:r>
      <w:r w:rsidR="00A73516" w:rsidRPr="001062B9">
        <w:rPr>
          <w:rFonts w:ascii="Arial" w:hAnsi="Arial" w:cs="Arial"/>
          <w:sz w:val="22"/>
          <w:lang w:val="el-GR"/>
        </w:rPr>
        <w:t xml:space="preserve"> εκατ.</w:t>
      </w:r>
      <w:r w:rsidR="00211F45" w:rsidRPr="001062B9">
        <w:rPr>
          <w:rFonts w:ascii="Arial" w:hAnsi="Arial" w:cs="Arial"/>
          <w:sz w:val="22"/>
          <w:lang w:val="el-GR"/>
        </w:rPr>
        <w:t>,</w:t>
      </w:r>
      <w:r w:rsidR="00970A4F" w:rsidRPr="001062B9">
        <w:rPr>
          <w:rFonts w:ascii="Arial" w:hAnsi="Arial" w:cs="Arial"/>
          <w:sz w:val="22"/>
          <w:lang w:val="el-GR"/>
        </w:rPr>
        <w:t xml:space="preserve"> καταγράφοντας αύξηση </w:t>
      </w:r>
      <w:r w:rsidR="00836A79" w:rsidRPr="001062B9">
        <w:rPr>
          <w:rFonts w:ascii="Arial" w:hAnsi="Arial" w:cs="Arial"/>
          <w:sz w:val="22"/>
          <w:lang w:val="el-GR"/>
        </w:rPr>
        <w:t>4,9</w:t>
      </w:r>
      <w:r w:rsidR="00970A4F" w:rsidRPr="001062B9">
        <w:rPr>
          <w:rFonts w:ascii="Arial" w:hAnsi="Arial" w:cs="Arial"/>
          <w:sz w:val="22"/>
          <w:lang w:val="el-GR"/>
        </w:rPr>
        <w:t xml:space="preserve">% σε ετήσια βάση, </w:t>
      </w:r>
      <w:r w:rsidR="00394F51" w:rsidRPr="001062B9">
        <w:rPr>
          <w:rFonts w:ascii="Arial" w:hAnsi="Arial" w:cs="Arial"/>
          <w:sz w:val="22"/>
          <w:lang w:val="el-GR"/>
        </w:rPr>
        <w:t>κυρίως</w:t>
      </w:r>
      <w:r w:rsidR="00836A79" w:rsidRPr="001062B9">
        <w:rPr>
          <w:rFonts w:ascii="Arial" w:hAnsi="Arial" w:cs="Arial"/>
          <w:sz w:val="22"/>
          <w:lang w:val="el-GR"/>
        </w:rPr>
        <w:t xml:space="preserve"> λόγω της σημαντικής αύξησης των εσόδων από System Solutions, την ισχυρή ανάπτυξη στην κινητή και τις θετικές τάσεις στη σταθερή, αντισταθμίζοντας τη μείωση στα έσοδα από υπηρεσίες διεθνούς χονδρικής, κυρίως λόγω της προγραμματισμένης σταδιακής κατάργησης ορισμένων δραστηριοτήτων.</w:t>
      </w:r>
      <w:r w:rsidR="00394F51" w:rsidRPr="001062B9">
        <w:rPr>
          <w:rFonts w:ascii="Arial" w:hAnsi="Arial" w:cs="Arial"/>
          <w:sz w:val="22"/>
          <w:lang w:val="el-GR"/>
        </w:rPr>
        <w:t xml:space="preserve"> </w:t>
      </w:r>
    </w:p>
    <w:p w14:paraId="4B42E8E7" w14:textId="77777777" w:rsidR="00560FD7" w:rsidRPr="001062B9" w:rsidRDefault="00560FD7" w:rsidP="007133DC">
      <w:pPr>
        <w:pStyle w:val="ListParagraph"/>
        <w:spacing w:before="120" w:line="280" w:lineRule="exact"/>
        <w:ind w:left="284"/>
        <w:jc w:val="both"/>
        <w:rPr>
          <w:rFonts w:ascii="Arial" w:hAnsi="Arial" w:cs="Arial"/>
          <w:lang w:val="el-GR"/>
        </w:rPr>
      </w:pPr>
    </w:p>
    <w:p w14:paraId="162DF778" w14:textId="39E165B8" w:rsidR="00BB2768" w:rsidRPr="00BB2768" w:rsidRDefault="00C12BD0" w:rsidP="00BB2768">
      <w:pPr>
        <w:pStyle w:val="ListParagraph"/>
        <w:numPr>
          <w:ilvl w:val="0"/>
          <w:numId w:val="31"/>
        </w:numPr>
        <w:spacing w:before="120" w:line="280" w:lineRule="exact"/>
        <w:ind w:left="284" w:hanging="284"/>
        <w:jc w:val="both"/>
        <w:rPr>
          <w:rFonts w:ascii="Arial" w:eastAsiaTheme="minorHAnsi" w:hAnsi="Arial" w:cs="Arial"/>
          <w:sz w:val="22"/>
          <w:szCs w:val="22"/>
          <w:lang w:val="el-GR"/>
        </w:rPr>
      </w:pPr>
      <w:r w:rsidRPr="00836A79">
        <w:rPr>
          <w:rFonts w:ascii="Arial" w:hAnsi="Arial" w:cs="Arial"/>
          <w:b/>
          <w:bCs/>
          <w:sz w:val="22"/>
          <w:lang w:val="el-GR"/>
        </w:rPr>
        <w:t>Τα έσοδα από υπηρεσίες λιανικής σταθερής</w:t>
      </w:r>
      <w:r w:rsidRPr="00C252A9">
        <w:rPr>
          <w:rFonts w:ascii="Arial" w:hAnsi="Arial" w:cs="Arial"/>
          <w:lang w:val="el-GR"/>
        </w:rPr>
        <w:t xml:space="preserve"> </w:t>
      </w:r>
      <w:r w:rsidR="007812DB" w:rsidRPr="00C252A9">
        <w:rPr>
          <w:rFonts w:ascii="Arial" w:eastAsiaTheme="minorHAnsi" w:hAnsi="Arial" w:cs="Arial"/>
          <w:sz w:val="22"/>
          <w:szCs w:val="22"/>
          <w:lang w:val="el-GR"/>
        </w:rPr>
        <w:t>αυξήθηκαν</w:t>
      </w:r>
      <w:r w:rsidR="00943CDC" w:rsidRPr="00C252A9">
        <w:rPr>
          <w:rFonts w:ascii="Arial" w:eastAsiaTheme="minorHAnsi" w:hAnsi="Arial" w:cs="Arial"/>
          <w:sz w:val="22"/>
          <w:szCs w:val="22"/>
          <w:lang w:val="el-GR"/>
        </w:rPr>
        <w:t xml:space="preserve"> </w:t>
      </w:r>
      <w:r w:rsidR="004214F1" w:rsidRPr="00C252A9">
        <w:rPr>
          <w:rFonts w:ascii="Arial" w:eastAsiaTheme="minorHAnsi" w:hAnsi="Arial" w:cs="Arial"/>
          <w:sz w:val="22"/>
          <w:szCs w:val="22"/>
          <w:lang w:val="el-GR"/>
        </w:rPr>
        <w:t>κατά</w:t>
      </w:r>
      <w:r w:rsidRPr="00C252A9" w:rsidDel="004214F1">
        <w:rPr>
          <w:rFonts w:ascii="Arial" w:eastAsiaTheme="minorHAnsi" w:hAnsi="Arial" w:cs="Arial"/>
          <w:sz w:val="22"/>
          <w:szCs w:val="22"/>
          <w:lang w:val="el-GR"/>
        </w:rPr>
        <w:t xml:space="preserve"> </w:t>
      </w:r>
      <w:r w:rsidR="00C252A9">
        <w:rPr>
          <w:rFonts w:ascii="Arial" w:eastAsiaTheme="minorHAnsi" w:hAnsi="Arial" w:cs="Arial"/>
          <w:sz w:val="22"/>
          <w:szCs w:val="22"/>
          <w:lang w:val="el-GR"/>
        </w:rPr>
        <w:t>1,1</w:t>
      </w:r>
      <w:r w:rsidR="0021663A" w:rsidRPr="00C252A9">
        <w:rPr>
          <w:rFonts w:ascii="Arial" w:eastAsiaTheme="minorHAnsi" w:hAnsi="Arial" w:cs="Arial"/>
          <w:sz w:val="22"/>
          <w:szCs w:val="22"/>
          <w:lang w:val="el-GR"/>
        </w:rPr>
        <w:t xml:space="preserve">% το </w:t>
      </w:r>
      <w:r w:rsidR="00C252A9">
        <w:rPr>
          <w:rFonts w:ascii="Arial" w:eastAsiaTheme="minorHAnsi" w:hAnsi="Arial" w:cs="Arial"/>
          <w:sz w:val="22"/>
          <w:szCs w:val="22"/>
          <w:lang w:val="el-GR"/>
        </w:rPr>
        <w:t>Α</w:t>
      </w:r>
      <w:r w:rsidR="0021663A" w:rsidRPr="00C252A9">
        <w:rPr>
          <w:rFonts w:ascii="Arial" w:eastAsiaTheme="minorHAnsi" w:hAnsi="Arial" w:cs="Arial"/>
          <w:sz w:val="22"/>
          <w:szCs w:val="22"/>
          <w:lang w:val="el-GR"/>
        </w:rPr>
        <w:t>’ τρίμηνο 202</w:t>
      </w:r>
      <w:r w:rsidR="00C252A9">
        <w:rPr>
          <w:rFonts w:ascii="Arial" w:eastAsiaTheme="minorHAnsi" w:hAnsi="Arial" w:cs="Arial"/>
          <w:sz w:val="22"/>
          <w:szCs w:val="22"/>
          <w:lang w:val="el-GR"/>
        </w:rPr>
        <w:t>6</w:t>
      </w:r>
      <w:r w:rsidR="00B219BE">
        <w:rPr>
          <w:rFonts w:ascii="Arial" w:eastAsiaTheme="minorHAnsi" w:hAnsi="Arial" w:cs="Arial"/>
          <w:sz w:val="22"/>
          <w:szCs w:val="22"/>
          <w:lang w:val="el-GR"/>
        </w:rPr>
        <w:t xml:space="preserve"> αποτυπώνοντας τη συνεχιζόμενη </w:t>
      </w:r>
      <w:r w:rsidR="00E1682E">
        <w:rPr>
          <w:rFonts w:ascii="Arial" w:eastAsiaTheme="minorHAnsi" w:hAnsi="Arial" w:cs="Arial"/>
          <w:sz w:val="22"/>
          <w:szCs w:val="22"/>
          <w:lang w:val="el-GR"/>
        </w:rPr>
        <w:t xml:space="preserve">αναπτυξιακή </w:t>
      </w:r>
      <w:r w:rsidR="00B219BE">
        <w:rPr>
          <w:rFonts w:ascii="Arial" w:eastAsiaTheme="minorHAnsi" w:hAnsi="Arial" w:cs="Arial"/>
          <w:sz w:val="22"/>
          <w:szCs w:val="22"/>
          <w:lang w:val="el-GR"/>
        </w:rPr>
        <w:t>δυναμική</w:t>
      </w:r>
      <w:r w:rsidR="00615FD0" w:rsidRPr="00C252A9">
        <w:rPr>
          <w:rFonts w:ascii="Arial" w:eastAsiaTheme="minorHAnsi" w:hAnsi="Arial" w:cs="Arial"/>
          <w:sz w:val="22"/>
          <w:szCs w:val="22"/>
          <w:lang w:val="el-GR"/>
        </w:rPr>
        <w:t xml:space="preserve">. </w:t>
      </w:r>
      <w:r w:rsidR="006C0ACD">
        <w:rPr>
          <w:rFonts w:ascii="Arial" w:eastAsiaTheme="minorHAnsi" w:hAnsi="Arial" w:cs="Arial"/>
          <w:sz w:val="22"/>
          <w:szCs w:val="22"/>
          <w:lang w:val="el-GR"/>
        </w:rPr>
        <w:t>Οι επιδόσεις υποστηρίχθηκαν από την</w:t>
      </w:r>
      <w:r w:rsidR="00BB2768" w:rsidRPr="00BB2768">
        <w:rPr>
          <w:rFonts w:ascii="Arial" w:eastAsiaTheme="minorHAnsi" w:hAnsi="Arial" w:cs="Arial"/>
          <w:sz w:val="22"/>
          <w:szCs w:val="22"/>
          <w:lang w:val="el-GR"/>
        </w:rPr>
        <w:t xml:space="preserve"> </w:t>
      </w:r>
      <w:r w:rsidR="00BB2768" w:rsidRPr="00C252A9">
        <w:rPr>
          <w:rFonts w:ascii="Arial" w:eastAsiaTheme="minorHAnsi" w:hAnsi="Arial" w:cs="Arial"/>
          <w:sz w:val="22"/>
          <w:szCs w:val="22"/>
          <w:lang w:val="el-GR"/>
        </w:rPr>
        <w:t>επέκταση του δικτύου FTTH</w:t>
      </w:r>
      <w:r w:rsidR="006C0ACD">
        <w:rPr>
          <w:rFonts w:ascii="Arial" w:eastAsiaTheme="minorHAnsi" w:hAnsi="Arial" w:cs="Arial"/>
          <w:sz w:val="22"/>
          <w:szCs w:val="22"/>
          <w:lang w:val="el-GR"/>
        </w:rPr>
        <w:t xml:space="preserve"> </w:t>
      </w:r>
      <w:r w:rsidR="00BB2768">
        <w:rPr>
          <w:rFonts w:ascii="Arial" w:eastAsiaTheme="minorHAnsi" w:hAnsi="Arial" w:cs="Arial"/>
          <w:sz w:val="22"/>
          <w:szCs w:val="22"/>
          <w:lang w:val="el-GR"/>
        </w:rPr>
        <w:t xml:space="preserve">και την </w:t>
      </w:r>
      <w:r w:rsidR="00F74718" w:rsidRPr="00C252A9">
        <w:rPr>
          <w:rFonts w:ascii="Arial" w:eastAsiaTheme="minorHAnsi" w:hAnsi="Arial" w:cs="Arial"/>
          <w:sz w:val="22"/>
          <w:szCs w:val="22"/>
          <w:lang w:val="el-GR"/>
        </w:rPr>
        <w:t>αυξημένη υιοθέτηση των υπηρεσιών FTTH</w:t>
      </w:r>
      <w:r w:rsid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lang w:val="el-GR"/>
        </w:rPr>
        <w:t xml:space="preserve">Η εμπορική διάθεση </w:t>
      </w:r>
      <w:r w:rsidR="00231D76">
        <w:rPr>
          <w:rFonts w:ascii="Arial" w:eastAsiaTheme="minorHAnsi" w:hAnsi="Arial" w:cs="Arial"/>
          <w:sz w:val="22"/>
          <w:szCs w:val="22"/>
          <w:lang w:val="el-GR"/>
        </w:rPr>
        <w:t>υπηρεσιών οπτικών ινών στο πλαίσιο του έργου</w:t>
      </w:r>
      <w:r w:rsidR="00BB2768" w:rsidRP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rPr>
        <w:t>UFBB</w:t>
      </w:r>
      <w:r w:rsidR="00BB2768" w:rsidRPr="00BB2768">
        <w:rPr>
          <w:rFonts w:ascii="Arial" w:eastAsiaTheme="minorHAnsi" w:hAnsi="Arial" w:cs="Arial"/>
          <w:sz w:val="22"/>
          <w:szCs w:val="22"/>
          <w:lang w:val="el-GR"/>
        </w:rPr>
        <w:t xml:space="preserve"> αναμένεται να καλύψει περαιτέρω τις ανάγκες συνδεσιμότητας σε απομακρυσμένες περιοχές και να ενισχύσει τη διείσδυση </w:t>
      </w:r>
      <w:r w:rsidR="00BB2768">
        <w:rPr>
          <w:rFonts w:ascii="Arial" w:eastAsiaTheme="minorHAnsi" w:hAnsi="Arial" w:cs="Arial"/>
          <w:sz w:val="22"/>
          <w:szCs w:val="22"/>
          <w:lang w:val="el-GR"/>
        </w:rPr>
        <w:t>των υπηρεσιών</w:t>
      </w:r>
      <w:r w:rsidR="00BB2768" w:rsidRP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rPr>
        <w:t>FTTH</w:t>
      </w:r>
      <w:r w:rsidR="00BB2768" w:rsidRPr="00BB2768">
        <w:rPr>
          <w:rFonts w:ascii="Arial" w:eastAsiaTheme="minorHAnsi" w:hAnsi="Arial" w:cs="Arial"/>
          <w:sz w:val="22"/>
          <w:szCs w:val="22"/>
          <w:lang w:val="el-GR"/>
        </w:rPr>
        <w:t xml:space="preserve">. </w:t>
      </w:r>
      <w:r w:rsidR="00042C36">
        <w:rPr>
          <w:rFonts w:ascii="Arial" w:eastAsiaTheme="minorHAnsi" w:hAnsi="Arial" w:cs="Arial"/>
          <w:sz w:val="22"/>
          <w:szCs w:val="22"/>
          <w:lang w:val="el-GR"/>
        </w:rPr>
        <w:t xml:space="preserve">Η </w:t>
      </w:r>
      <w:r w:rsidR="00042C36" w:rsidRPr="00042C36">
        <w:rPr>
          <w:rFonts w:ascii="Arial" w:eastAsiaTheme="minorHAnsi" w:hAnsi="Arial" w:cs="Arial"/>
          <w:sz w:val="22"/>
          <w:szCs w:val="22"/>
          <w:lang w:val="el-GR"/>
        </w:rPr>
        <w:t xml:space="preserve">εξέλιξη αυτή θα επιτρέψει στον ΟΤΕ να προσφέρει αναβαθμισμένες υπηρεσίες σε περιοχές όπου δεν υπήρχαν έως σήμερα </w:t>
      </w:r>
      <w:r w:rsidR="00042C36">
        <w:rPr>
          <w:rFonts w:ascii="Arial" w:eastAsiaTheme="minorHAnsi" w:hAnsi="Arial" w:cs="Arial"/>
          <w:sz w:val="22"/>
          <w:szCs w:val="22"/>
          <w:lang w:val="el-GR"/>
        </w:rPr>
        <w:t>επαρκείς</w:t>
      </w:r>
      <w:r w:rsidR="00042C36" w:rsidRPr="00042C36">
        <w:rPr>
          <w:rFonts w:ascii="Arial" w:eastAsiaTheme="minorHAnsi" w:hAnsi="Arial" w:cs="Arial"/>
          <w:sz w:val="22"/>
          <w:szCs w:val="22"/>
          <w:lang w:val="el-GR"/>
        </w:rPr>
        <w:t xml:space="preserve"> ευρυζωνικές υποδομές ή όπου οι πελάτες κατέφευγαν σε εναλλακτικές λύσεις.</w:t>
      </w:r>
      <w:r w:rsidR="009A6414">
        <w:rPr>
          <w:rFonts w:ascii="Arial" w:eastAsiaTheme="minorHAnsi" w:hAnsi="Arial" w:cs="Arial"/>
          <w:sz w:val="22"/>
          <w:szCs w:val="22"/>
          <w:lang w:val="el-GR"/>
        </w:rPr>
        <w:t xml:space="preserve"> </w:t>
      </w:r>
      <w:r w:rsidR="00BB2768" w:rsidRPr="00BB2768">
        <w:rPr>
          <w:rFonts w:ascii="Arial" w:eastAsiaTheme="minorHAnsi" w:hAnsi="Arial" w:cs="Arial"/>
          <w:sz w:val="22"/>
          <w:szCs w:val="22"/>
          <w:lang w:val="el-GR"/>
        </w:rPr>
        <w:t xml:space="preserve">Η τηλεόραση συνέχισε να </w:t>
      </w:r>
      <w:r w:rsidR="00E1682E">
        <w:rPr>
          <w:rFonts w:ascii="Arial" w:eastAsiaTheme="minorHAnsi" w:hAnsi="Arial" w:cs="Arial"/>
          <w:sz w:val="22"/>
          <w:szCs w:val="22"/>
          <w:lang w:val="el-GR"/>
        </w:rPr>
        <w:t>σημειώνει</w:t>
      </w:r>
      <w:r w:rsidR="00E1682E" w:rsidRP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lang w:val="el-GR"/>
        </w:rPr>
        <w:t>ισχυρ</w:t>
      </w:r>
      <w:r w:rsidR="00BB2768">
        <w:rPr>
          <w:rFonts w:ascii="Arial" w:eastAsiaTheme="minorHAnsi" w:hAnsi="Arial" w:cs="Arial"/>
          <w:sz w:val="22"/>
          <w:szCs w:val="22"/>
          <w:lang w:val="el-GR"/>
        </w:rPr>
        <w:t>ές</w:t>
      </w:r>
      <w:r w:rsidR="00BB2768" w:rsidRPr="00BB2768">
        <w:rPr>
          <w:rFonts w:ascii="Arial" w:eastAsiaTheme="minorHAnsi" w:hAnsi="Arial" w:cs="Arial"/>
          <w:sz w:val="22"/>
          <w:szCs w:val="22"/>
          <w:lang w:val="el-GR"/>
        </w:rPr>
        <w:t xml:space="preserve"> </w:t>
      </w:r>
      <w:r w:rsidR="00BB2768">
        <w:rPr>
          <w:rFonts w:ascii="Arial" w:eastAsiaTheme="minorHAnsi" w:hAnsi="Arial" w:cs="Arial"/>
          <w:sz w:val="22"/>
          <w:szCs w:val="22"/>
          <w:lang w:val="el-GR"/>
        </w:rPr>
        <w:t>επιδόσεις</w:t>
      </w:r>
      <w:r w:rsidR="00BB2768" w:rsidRPr="00BB2768">
        <w:rPr>
          <w:rFonts w:ascii="Arial" w:eastAsiaTheme="minorHAnsi" w:hAnsi="Arial" w:cs="Arial"/>
          <w:sz w:val="22"/>
          <w:szCs w:val="22"/>
          <w:lang w:val="el-GR"/>
        </w:rPr>
        <w:t>, καταγράφοντας σημαντική ετήσια ανάπτυξη, ενώ η υιοθέτηση του 5</w:t>
      </w:r>
      <w:r w:rsidR="00BB2768" w:rsidRPr="00BB2768">
        <w:rPr>
          <w:rFonts w:ascii="Arial" w:eastAsiaTheme="minorHAnsi" w:hAnsi="Arial" w:cs="Arial"/>
          <w:sz w:val="22"/>
          <w:szCs w:val="22"/>
        </w:rPr>
        <w:t>G</w:t>
      </w:r>
      <w:r w:rsidR="00BB2768" w:rsidRP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rPr>
        <w:t>WiFi</w:t>
      </w:r>
      <w:r w:rsidR="00BB2768" w:rsidRPr="00BB2768">
        <w:rPr>
          <w:rFonts w:ascii="Arial" w:eastAsiaTheme="minorHAnsi" w:hAnsi="Arial" w:cs="Arial"/>
          <w:sz w:val="22"/>
          <w:szCs w:val="22"/>
          <w:lang w:val="el-GR"/>
        </w:rPr>
        <w:t xml:space="preserve"> —</w:t>
      </w:r>
      <w:r w:rsidR="00BB2768">
        <w:rPr>
          <w:rFonts w:ascii="Arial" w:eastAsiaTheme="minorHAnsi" w:hAnsi="Arial" w:cs="Arial"/>
          <w:sz w:val="22"/>
          <w:szCs w:val="22"/>
          <w:lang w:val="el-GR"/>
        </w:rPr>
        <w:t>της υπηρεσίας</w:t>
      </w:r>
      <w:r w:rsidR="00BB2768" w:rsidRPr="00BB2768">
        <w:rPr>
          <w:rFonts w:ascii="Arial" w:eastAsiaTheme="minorHAnsi" w:hAnsi="Arial" w:cs="Arial"/>
          <w:sz w:val="22"/>
          <w:szCs w:val="22"/>
          <w:lang w:val="el-GR"/>
        </w:rPr>
        <w:t xml:space="preserve"> </w:t>
      </w:r>
      <w:r w:rsidR="00BB2768" w:rsidRPr="00BB2768">
        <w:rPr>
          <w:rFonts w:ascii="Arial" w:eastAsiaTheme="minorHAnsi" w:hAnsi="Arial" w:cs="Arial"/>
          <w:sz w:val="22"/>
          <w:szCs w:val="22"/>
        </w:rPr>
        <w:t>FWA</w:t>
      </w:r>
      <w:r w:rsidR="00BB2768" w:rsidRPr="00BB2768">
        <w:rPr>
          <w:rFonts w:ascii="Arial" w:eastAsiaTheme="minorHAnsi" w:hAnsi="Arial" w:cs="Arial"/>
          <w:sz w:val="22"/>
          <w:szCs w:val="22"/>
          <w:lang w:val="el-GR"/>
        </w:rPr>
        <w:t xml:space="preserve"> που λανσαρίστηκε πέρυσι— συνέχισε να αυξάνεται.</w:t>
      </w:r>
    </w:p>
    <w:p w14:paraId="7440A234" w14:textId="77777777" w:rsidR="00560FD7" w:rsidRPr="00231D76" w:rsidRDefault="00560FD7" w:rsidP="001062B9">
      <w:pPr>
        <w:pStyle w:val="ListParagraph"/>
        <w:spacing w:before="120" w:line="280" w:lineRule="exact"/>
        <w:ind w:left="284"/>
        <w:jc w:val="both"/>
        <w:rPr>
          <w:rFonts w:ascii="Arial" w:hAnsi="Arial" w:cs="Arial"/>
          <w:sz w:val="22"/>
          <w:lang w:val="el-GR"/>
        </w:rPr>
      </w:pPr>
    </w:p>
    <w:p w14:paraId="33B34FFC" w14:textId="69A5EC8E" w:rsidR="006B07D5" w:rsidRPr="001062B9" w:rsidRDefault="007A0139" w:rsidP="007133DC">
      <w:pPr>
        <w:pStyle w:val="ListParagraph"/>
        <w:numPr>
          <w:ilvl w:val="0"/>
          <w:numId w:val="31"/>
        </w:numPr>
        <w:spacing w:before="120" w:line="280" w:lineRule="exact"/>
        <w:ind w:left="284" w:hanging="284"/>
        <w:jc w:val="both"/>
        <w:rPr>
          <w:rFonts w:ascii="Arial" w:hAnsi="Arial" w:cs="Arial"/>
          <w:sz w:val="22"/>
          <w:lang w:val="el-GR"/>
        </w:rPr>
      </w:pPr>
      <w:r w:rsidRPr="00F2088F">
        <w:rPr>
          <w:rFonts w:ascii="Arial" w:hAnsi="Arial" w:cs="Arial"/>
          <w:b/>
          <w:bCs/>
          <w:sz w:val="22"/>
          <w:lang w:val="el-GR"/>
        </w:rPr>
        <w:t xml:space="preserve">Τα έσοδα </w:t>
      </w:r>
      <w:r w:rsidRPr="00231D76">
        <w:rPr>
          <w:rFonts w:ascii="Arial" w:hAnsi="Arial" w:cs="Arial"/>
          <w:sz w:val="22"/>
          <w:lang w:val="el-GR"/>
        </w:rPr>
        <w:t xml:space="preserve">από υπηρεσίες κινητής </w:t>
      </w:r>
      <w:r w:rsidRPr="00560FD7">
        <w:rPr>
          <w:rFonts w:ascii="Arial" w:hAnsi="Arial" w:cs="Arial"/>
          <w:sz w:val="22"/>
          <w:lang w:val="el-GR"/>
        </w:rPr>
        <w:t>αυξήθηκαν κατά 5,</w:t>
      </w:r>
      <w:r w:rsidR="009E2033" w:rsidRPr="00560FD7">
        <w:rPr>
          <w:rFonts w:ascii="Arial" w:hAnsi="Arial" w:cs="Arial"/>
          <w:sz w:val="22"/>
          <w:lang w:val="el-GR"/>
        </w:rPr>
        <w:t>5</w:t>
      </w:r>
      <w:r w:rsidRPr="00560FD7">
        <w:rPr>
          <w:rFonts w:ascii="Arial" w:hAnsi="Arial" w:cs="Arial"/>
          <w:sz w:val="22"/>
          <w:lang w:val="el-GR"/>
        </w:rPr>
        <w:t xml:space="preserve">% το </w:t>
      </w:r>
      <w:r w:rsidR="009E2033" w:rsidRPr="00560FD7">
        <w:rPr>
          <w:rFonts w:ascii="Arial" w:hAnsi="Arial" w:cs="Arial"/>
          <w:sz w:val="22"/>
          <w:lang w:val="el-GR"/>
        </w:rPr>
        <w:t>Α</w:t>
      </w:r>
      <w:r w:rsidRPr="00560FD7">
        <w:rPr>
          <w:rFonts w:ascii="Arial" w:hAnsi="Arial" w:cs="Arial"/>
          <w:sz w:val="22"/>
          <w:lang w:val="el-GR"/>
        </w:rPr>
        <w:t>’ τρίμηνο του 202</w:t>
      </w:r>
      <w:r w:rsidR="009E2033" w:rsidRPr="00560FD7">
        <w:rPr>
          <w:rFonts w:ascii="Arial" w:hAnsi="Arial" w:cs="Arial"/>
          <w:sz w:val="22"/>
          <w:lang w:val="el-GR"/>
        </w:rPr>
        <w:t>6</w:t>
      </w:r>
      <w:r w:rsidRPr="00560FD7">
        <w:rPr>
          <w:rFonts w:ascii="Arial" w:hAnsi="Arial" w:cs="Arial"/>
          <w:sz w:val="22"/>
          <w:lang w:val="el-GR"/>
        </w:rPr>
        <w:t xml:space="preserve">, καταγράφοντας </w:t>
      </w:r>
      <w:r w:rsidR="00F06105" w:rsidRPr="00560FD7">
        <w:rPr>
          <w:rFonts w:ascii="Arial" w:hAnsi="Arial" w:cs="Arial"/>
          <w:sz w:val="22"/>
          <w:lang w:val="el-GR"/>
        </w:rPr>
        <w:t>ισχυρή</w:t>
      </w:r>
      <w:r w:rsidRPr="00560FD7">
        <w:rPr>
          <w:rFonts w:ascii="Arial" w:hAnsi="Arial" w:cs="Arial"/>
          <w:sz w:val="22"/>
          <w:lang w:val="el-GR"/>
        </w:rPr>
        <w:t xml:space="preserve"> επίδοση. </w:t>
      </w:r>
      <w:r w:rsidR="00B428AB" w:rsidRPr="00560FD7">
        <w:rPr>
          <w:rFonts w:ascii="Arial" w:hAnsi="Arial" w:cs="Arial"/>
          <w:sz w:val="22"/>
          <w:lang w:val="el-GR"/>
        </w:rPr>
        <w:t xml:space="preserve">Η ανάπτυξη οφείλεται κυρίως στις ισχυρές επιδόσεις υπηρεσιών συμβολαίου, χάρη στη μετάβαση πελατών καρτοκινητής σε </w:t>
      </w:r>
      <w:r w:rsidR="00FB7D93" w:rsidRPr="00560FD7">
        <w:rPr>
          <w:rFonts w:ascii="Arial" w:hAnsi="Arial" w:cs="Arial"/>
          <w:sz w:val="22"/>
          <w:lang w:val="el-GR"/>
        </w:rPr>
        <w:t>προγράμματα</w:t>
      </w:r>
      <w:r w:rsidR="00B428AB" w:rsidRPr="00560FD7">
        <w:rPr>
          <w:rFonts w:ascii="Arial" w:hAnsi="Arial" w:cs="Arial"/>
          <w:sz w:val="22"/>
          <w:lang w:val="el-GR"/>
        </w:rPr>
        <w:t xml:space="preserve"> συμβολαίου, καθώς και σ</w:t>
      </w:r>
      <w:r w:rsidR="006B07D5" w:rsidRPr="00560FD7">
        <w:rPr>
          <w:rFonts w:ascii="Arial" w:hAnsi="Arial" w:cs="Arial"/>
          <w:sz w:val="22"/>
          <w:lang w:val="el-GR"/>
        </w:rPr>
        <w:t>τη μετάβαση πελατών σ</w:t>
      </w:r>
      <w:r w:rsidR="00B428AB" w:rsidRPr="00560FD7">
        <w:rPr>
          <w:rFonts w:ascii="Arial" w:hAnsi="Arial" w:cs="Arial"/>
          <w:sz w:val="22"/>
          <w:lang w:val="el-GR"/>
        </w:rPr>
        <w:t>ε υπηρεσίες υψηλότερης αξίας,</w:t>
      </w:r>
      <w:r w:rsidR="00331B23">
        <w:rPr>
          <w:rFonts w:ascii="Arial" w:hAnsi="Arial" w:cs="Arial"/>
          <w:sz w:val="22"/>
          <w:lang w:val="el-GR"/>
        </w:rPr>
        <w:t xml:space="preserve"> συμβάλλοντας στην </w:t>
      </w:r>
      <w:r w:rsidR="00331B23" w:rsidRPr="00560FD7">
        <w:rPr>
          <w:rFonts w:ascii="Arial" w:hAnsi="Arial" w:cs="Arial"/>
          <w:sz w:val="22"/>
          <w:lang w:val="el-GR"/>
        </w:rPr>
        <w:t>ενίσχυ</w:t>
      </w:r>
      <w:r w:rsidR="00331B23">
        <w:rPr>
          <w:rFonts w:ascii="Arial" w:hAnsi="Arial" w:cs="Arial"/>
          <w:sz w:val="22"/>
          <w:lang w:val="el-GR"/>
        </w:rPr>
        <w:t>ση</w:t>
      </w:r>
      <w:r w:rsidR="00811AE0" w:rsidRPr="00560FD7">
        <w:rPr>
          <w:rFonts w:ascii="Arial" w:hAnsi="Arial" w:cs="Arial"/>
          <w:sz w:val="22"/>
          <w:lang w:val="el-GR"/>
        </w:rPr>
        <w:t xml:space="preserve"> </w:t>
      </w:r>
      <w:r w:rsidR="00331B23">
        <w:rPr>
          <w:rFonts w:ascii="Arial" w:hAnsi="Arial" w:cs="Arial"/>
          <w:sz w:val="22"/>
          <w:lang w:val="el-GR"/>
        </w:rPr>
        <w:t>των εσόδων</w:t>
      </w:r>
      <w:r w:rsidR="00B428AB" w:rsidRPr="001062B9">
        <w:rPr>
          <w:rFonts w:ascii="Arial" w:hAnsi="Arial" w:cs="Arial"/>
          <w:sz w:val="22"/>
          <w:lang w:val="el-GR"/>
        </w:rPr>
        <w:t xml:space="preserve">. </w:t>
      </w:r>
      <w:r w:rsidR="009E2033" w:rsidRPr="00560FD7">
        <w:rPr>
          <w:rFonts w:ascii="Arial" w:hAnsi="Arial" w:cs="Arial"/>
          <w:sz w:val="22"/>
          <w:lang w:val="el-GR"/>
        </w:rPr>
        <w:t xml:space="preserve">Επιπλέον, η </w:t>
      </w:r>
      <w:r w:rsidR="006B07D5" w:rsidRPr="00560FD7">
        <w:rPr>
          <w:rFonts w:ascii="Arial" w:hAnsi="Arial" w:cs="Arial"/>
          <w:sz w:val="22"/>
          <w:lang w:val="el-GR"/>
        </w:rPr>
        <w:t>Ε</w:t>
      </w:r>
      <w:r w:rsidR="009E2033" w:rsidRPr="00560FD7">
        <w:rPr>
          <w:rFonts w:ascii="Arial" w:hAnsi="Arial" w:cs="Arial"/>
          <w:sz w:val="22"/>
          <w:lang w:val="el-GR"/>
        </w:rPr>
        <w:t xml:space="preserve">ταιρεία εισήγαγε πρόσφατα </w:t>
      </w:r>
      <w:r w:rsidR="00BB60AC">
        <w:rPr>
          <w:rFonts w:ascii="Arial" w:hAnsi="Arial" w:cs="Arial"/>
          <w:sz w:val="22"/>
          <w:lang w:val="el-GR"/>
        </w:rPr>
        <w:t>ενισχυμ</w:t>
      </w:r>
      <w:r w:rsidR="002567D9">
        <w:rPr>
          <w:rFonts w:ascii="Arial" w:hAnsi="Arial" w:cs="Arial"/>
          <w:sz w:val="22"/>
          <w:lang w:val="el-GR"/>
        </w:rPr>
        <w:t xml:space="preserve">ένα πακέτα </w:t>
      </w:r>
      <w:r w:rsidR="009E2033" w:rsidRPr="00560FD7">
        <w:rPr>
          <w:rFonts w:ascii="Arial" w:hAnsi="Arial" w:cs="Arial"/>
          <w:sz w:val="22"/>
          <w:lang w:val="el-GR"/>
        </w:rPr>
        <w:t xml:space="preserve">στα ψηφιακά της κανάλια για </w:t>
      </w:r>
      <w:r w:rsidR="00B33069" w:rsidRPr="00560FD7">
        <w:rPr>
          <w:rFonts w:ascii="Arial" w:hAnsi="Arial" w:cs="Arial"/>
          <w:sz w:val="22"/>
          <w:lang w:val="el-GR"/>
        </w:rPr>
        <w:t>την</w:t>
      </w:r>
      <w:r w:rsidR="009E2033" w:rsidRPr="00560FD7">
        <w:rPr>
          <w:rFonts w:ascii="Arial" w:hAnsi="Arial" w:cs="Arial"/>
          <w:sz w:val="22"/>
          <w:lang w:val="el-GR"/>
        </w:rPr>
        <w:t xml:space="preserve"> καρτοκινητή.</w:t>
      </w:r>
    </w:p>
    <w:p w14:paraId="2203EADB" w14:textId="34C0B643" w:rsidR="005534EB" w:rsidRPr="005B3FB7" w:rsidRDefault="00C12BD0" w:rsidP="00A64D6B">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8F04F1">
        <w:rPr>
          <w:rFonts w:ascii="Arial" w:hAnsi="Arial" w:cs="Arial"/>
          <w:b/>
          <w:bCs/>
          <w:sz w:val="22"/>
          <w:lang w:val="el-GR"/>
        </w:rPr>
        <w:t>Τα έσοδα από υπηρεσίες χονδρικής</w:t>
      </w:r>
      <w:r w:rsidRPr="008F04F1">
        <w:rPr>
          <w:rFonts w:ascii="Arial" w:hAnsi="Arial" w:cs="Arial"/>
          <w:sz w:val="22"/>
          <w:lang w:val="el-GR"/>
        </w:rPr>
        <w:t xml:space="preserve"> </w:t>
      </w:r>
      <w:r w:rsidR="00006BC0" w:rsidRPr="008F04F1">
        <w:rPr>
          <w:rFonts w:ascii="Arial" w:hAnsi="Arial" w:cs="Arial"/>
          <w:sz w:val="22"/>
          <w:lang w:val="el-GR"/>
        </w:rPr>
        <w:t>μειώθηκαν κατά</w:t>
      </w:r>
      <w:r w:rsidRPr="008F04F1">
        <w:rPr>
          <w:rFonts w:ascii="Arial" w:hAnsi="Arial" w:cs="Arial"/>
          <w:sz w:val="22"/>
          <w:lang w:val="el-GR"/>
        </w:rPr>
        <w:t xml:space="preserve"> </w:t>
      </w:r>
      <w:r w:rsidR="00990D64">
        <w:rPr>
          <w:rFonts w:ascii="Arial" w:hAnsi="Arial" w:cs="Arial"/>
          <w:sz w:val="22"/>
          <w:lang w:val="el-GR"/>
        </w:rPr>
        <w:t>39,7</w:t>
      </w:r>
      <w:r w:rsidRPr="008F04F1">
        <w:rPr>
          <w:rFonts w:ascii="Arial" w:hAnsi="Arial" w:cs="Arial"/>
          <w:sz w:val="22"/>
          <w:lang w:val="el-GR"/>
        </w:rPr>
        <w:t xml:space="preserve">% στο τρίμηνο, </w:t>
      </w:r>
      <w:r w:rsidR="001975F3" w:rsidRPr="008F04F1">
        <w:rPr>
          <w:rFonts w:ascii="Arial" w:hAnsi="Arial" w:cs="Arial"/>
          <w:sz w:val="22"/>
          <w:lang w:val="el-GR"/>
        </w:rPr>
        <w:t xml:space="preserve">αποτυπώνοντας την αναμενόμενη μείωση εσόδων από </w:t>
      </w:r>
      <w:r w:rsidR="00DB5A07" w:rsidRPr="008F04F1">
        <w:rPr>
          <w:rFonts w:ascii="Arial" w:hAnsi="Arial" w:cs="Arial"/>
          <w:sz w:val="22"/>
          <w:lang w:val="el-GR"/>
        </w:rPr>
        <w:t xml:space="preserve">τη σχεδόν μηδενικού περιθωρίου </w:t>
      </w:r>
      <w:r w:rsidRPr="008F04F1">
        <w:rPr>
          <w:rFonts w:ascii="Arial" w:hAnsi="Arial" w:cs="Arial"/>
          <w:sz w:val="22"/>
          <w:lang w:val="el-GR"/>
        </w:rPr>
        <w:t>διεθνή κίνηση</w:t>
      </w:r>
      <w:r w:rsidR="00006BC0" w:rsidRPr="008F04F1">
        <w:rPr>
          <w:rFonts w:ascii="Arial" w:hAnsi="Arial" w:cs="Arial"/>
          <w:sz w:val="22"/>
          <w:lang w:val="el-GR"/>
        </w:rPr>
        <w:t xml:space="preserve">, λόγω της </w:t>
      </w:r>
      <w:r w:rsidR="001975F3" w:rsidRPr="008F04F1">
        <w:rPr>
          <w:rFonts w:ascii="Arial" w:hAnsi="Arial" w:cs="Arial"/>
          <w:sz w:val="22"/>
          <w:lang w:val="el-GR"/>
        </w:rPr>
        <w:t>σταδιακή</w:t>
      </w:r>
      <w:r w:rsidR="00006BC0" w:rsidRPr="008F04F1">
        <w:rPr>
          <w:rFonts w:ascii="Arial" w:hAnsi="Arial" w:cs="Arial"/>
          <w:sz w:val="22"/>
          <w:lang w:val="el-GR"/>
        </w:rPr>
        <w:t>ς</w:t>
      </w:r>
      <w:r w:rsidR="001975F3" w:rsidRPr="008F04F1">
        <w:rPr>
          <w:rFonts w:ascii="Arial" w:hAnsi="Arial" w:cs="Arial"/>
          <w:sz w:val="22"/>
          <w:lang w:val="el-GR"/>
        </w:rPr>
        <w:t xml:space="preserve"> παύση</w:t>
      </w:r>
      <w:r w:rsidR="007F159D">
        <w:rPr>
          <w:rFonts w:ascii="Arial" w:hAnsi="Arial" w:cs="Arial"/>
          <w:sz w:val="22"/>
          <w:lang w:val="el-GR"/>
        </w:rPr>
        <w:t>ς</w:t>
      </w:r>
      <w:r w:rsidR="001975F3" w:rsidRPr="008F04F1">
        <w:rPr>
          <w:rFonts w:ascii="Arial" w:hAnsi="Arial" w:cs="Arial"/>
          <w:sz w:val="22"/>
          <w:lang w:val="el-GR"/>
        </w:rPr>
        <w:t xml:space="preserve"> συγκεκριμένων δραστηριοτήτων</w:t>
      </w:r>
      <w:r w:rsidR="00006BC0" w:rsidRPr="008F04F1">
        <w:rPr>
          <w:rFonts w:ascii="Arial" w:hAnsi="Arial" w:cs="Arial"/>
          <w:sz w:val="22"/>
          <w:lang w:val="el-GR"/>
        </w:rPr>
        <w:t xml:space="preserve">, </w:t>
      </w:r>
      <w:r w:rsidR="005534EB">
        <w:rPr>
          <w:rFonts w:ascii="Arial" w:hAnsi="Arial" w:cs="Arial"/>
          <w:sz w:val="22"/>
          <w:lang w:val="el-GR"/>
        </w:rPr>
        <w:t xml:space="preserve">που αναμένεται να οδηγήσει σε </w:t>
      </w:r>
      <w:r w:rsidR="008F04F1" w:rsidRPr="008F04F1">
        <w:rPr>
          <w:rFonts w:ascii="Arial" w:hAnsi="Arial" w:cs="Arial"/>
          <w:sz w:val="22"/>
          <w:lang w:val="el-GR"/>
        </w:rPr>
        <w:t>περαιτέρω μείωση</w:t>
      </w:r>
      <w:r w:rsidR="00DB5A07" w:rsidRPr="008F04F1">
        <w:rPr>
          <w:rFonts w:ascii="Arial" w:hAnsi="Arial" w:cs="Arial"/>
          <w:sz w:val="22"/>
          <w:lang w:val="el-GR"/>
        </w:rPr>
        <w:t xml:space="preserve"> </w:t>
      </w:r>
      <w:r w:rsidR="00B37A26" w:rsidRPr="008F04F1">
        <w:rPr>
          <w:rFonts w:ascii="Arial" w:hAnsi="Arial" w:cs="Arial"/>
          <w:sz w:val="22"/>
          <w:lang w:val="el-GR"/>
        </w:rPr>
        <w:t>τα επόμενα δύο χρόνια</w:t>
      </w:r>
      <w:r w:rsidR="001975F3" w:rsidRPr="008F04F1">
        <w:rPr>
          <w:rFonts w:asciiTheme="minorHAnsi" w:eastAsiaTheme="minorHAnsi" w:hAnsiTheme="minorHAnsi" w:cstheme="minorBidi"/>
          <w:sz w:val="22"/>
          <w:szCs w:val="22"/>
          <w:lang w:val="el-GR"/>
        </w:rPr>
        <w:t xml:space="preserve">. </w:t>
      </w:r>
      <w:r w:rsidR="001975F3" w:rsidRPr="008F04F1">
        <w:rPr>
          <w:rFonts w:ascii="Arial" w:hAnsi="Arial" w:cs="Arial"/>
          <w:sz w:val="22"/>
          <w:lang w:val="el-GR"/>
        </w:rPr>
        <w:t xml:space="preserve">Τα έσοδα από εγχώριες </w:t>
      </w:r>
      <w:r w:rsidR="00F00FE2" w:rsidRPr="008F04F1">
        <w:rPr>
          <w:rFonts w:ascii="Arial" w:hAnsi="Arial" w:cs="Arial"/>
          <w:sz w:val="22"/>
          <w:lang w:val="el-GR"/>
        </w:rPr>
        <w:t xml:space="preserve">ροές </w:t>
      </w:r>
      <w:r w:rsidR="001975F3" w:rsidRPr="008F04F1">
        <w:rPr>
          <w:rFonts w:ascii="Arial" w:hAnsi="Arial" w:cs="Arial"/>
          <w:sz w:val="22"/>
          <w:lang w:val="el-GR"/>
        </w:rPr>
        <w:t>χονδρικής παρέμειναν</w:t>
      </w:r>
      <w:r w:rsidR="008A0E9D">
        <w:rPr>
          <w:rFonts w:ascii="Arial" w:hAnsi="Arial" w:cs="Arial"/>
          <w:sz w:val="22"/>
          <w:lang w:val="el-GR"/>
        </w:rPr>
        <w:t>,</w:t>
      </w:r>
      <w:r w:rsidR="001975F3" w:rsidRPr="008F04F1">
        <w:rPr>
          <w:rFonts w:ascii="Arial" w:hAnsi="Arial" w:cs="Arial"/>
          <w:sz w:val="22"/>
          <w:lang w:val="el-GR"/>
        </w:rPr>
        <w:t xml:space="preserve"> σε γενικές γραμμές</w:t>
      </w:r>
      <w:r w:rsidR="008A0E9D">
        <w:rPr>
          <w:rFonts w:ascii="Arial" w:hAnsi="Arial" w:cs="Arial"/>
          <w:sz w:val="22"/>
          <w:lang w:val="el-GR"/>
        </w:rPr>
        <w:t>,</w:t>
      </w:r>
      <w:r w:rsidR="001975F3" w:rsidRPr="008F04F1">
        <w:rPr>
          <w:rFonts w:ascii="Arial" w:hAnsi="Arial" w:cs="Arial"/>
          <w:sz w:val="22"/>
          <w:lang w:val="el-GR"/>
        </w:rPr>
        <w:t xml:space="preserve"> ευθυγραμμισμένα με </w:t>
      </w:r>
      <w:r w:rsidR="009E3F66">
        <w:rPr>
          <w:rFonts w:ascii="Arial" w:hAnsi="Arial" w:cs="Arial"/>
          <w:sz w:val="22"/>
          <w:lang w:val="el-GR"/>
        </w:rPr>
        <w:t>τις πρόσφατες</w:t>
      </w:r>
      <w:r w:rsidR="001975F3" w:rsidRPr="008F04F1">
        <w:rPr>
          <w:rFonts w:ascii="Arial" w:hAnsi="Arial" w:cs="Arial"/>
          <w:sz w:val="22"/>
          <w:lang w:val="el-GR"/>
        </w:rPr>
        <w:t xml:space="preserve"> τάσεις, λόγω της ανάπτυξης υποδομών </w:t>
      </w:r>
      <w:r w:rsidR="005B1FF8" w:rsidRPr="008F04F1">
        <w:rPr>
          <w:rFonts w:ascii="Arial" w:hAnsi="Arial" w:cs="Arial"/>
          <w:sz w:val="22"/>
          <w:lang w:val="el-GR"/>
        </w:rPr>
        <w:t>των υπόλοιπων παρόχων</w:t>
      </w:r>
      <w:r w:rsidR="005534EB">
        <w:rPr>
          <w:rFonts w:ascii="Arial" w:hAnsi="Arial" w:cs="Arial"/>
          <w:sz w:val="22"/>
          <w:lang w:val="el-GR"/>
        </w:rPr>
        <w:t xml:space="preserve">. Η </w:t>
      </w:r>
      <w:r w:rsidR="00A64D6B">
        <w:rPr>
          <w:rFonts w:ascii="Arial" w:hAnsi="Arial" w:cs="Arial"/>
          <w:sz w:val="22"/>
          <w:lang w:val="el-GR"/>
        </w:rPr>
        <w:t>επίδραση αυτή</w:t>
      </w:r>
      <w:r w:rsidR="00FB496A" w:rsidRPr="008F04F1">
        <w:rPr>
          <w:rFonts w:ascii="Arial" w:hAnsi="Arial" w:cs="Arial"/>
          <w:sz w:val="22"/>
          <w:lang w:val="el-GR"/>
        </w:rPr>
        <w:t xml:space="preserve"> μετριάζεται από την αυξανόμενη χρήση της υποδομής FTTH του ΟΤΕ από άλλους παρόχους. </w:t>
      </w:r>
    </w:p>
    <w:p w14:paraId="57B2AFA8" w14:textId="49F38F13" w:rsidR="005534EB" w:rsidRPr="006C3119" w:rsidRDefault="00C12BD0" w:rsidP="001901D2">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8E030E">
        <w:rPr>
          <w:rFonts w:ascii="Arial" w:hAnsi="Arial" w:cs="Arial"/>
          <w:sz w:val="22"/>
          <w:lang w:val="el-GR"/>
        </w:rPr>
        <w:t xml:space="preserve">Τα </w:t>
      </w:r>
      <w:r w:rsidRPr="008E030E">
        <w:rPr>
          <w:rFonts w:ascii="Arial" w:hAnsi="Arial" w:cs="Arial"/>
          <w:b/>
          <w:bCs/>
          <w:sz w:val="22"/>
          <w:lang w:val="el-GR"/>
        </w:rPr>
        <w:t>λοιπά έσοδα</w:t>
      </w:r>
      <w:r w:rsidRPr="008E030E">
        <w:rPr>
          <w:rFonts w:ascii="Arial" w:hAnsi="Arial" w:cs="Arial"/>
          <w:sz w:val="22"/>
          <w:lang w:val="el-GR"/>
        </w:rPr>
        <w:t xml:space="preserve"> αυξήθηκαν κατά </w:t>
      </w:r>
      <w:r w:rsidR="009E3F66">
        <w:rPr>
          <w:rFonts w:ascii="Arial" w:hAnsi="Arial" w:cs="Arial"/>
          <w:sz w:val="22"/>
          <w:lang w:val="el-GR"/>
        </w:rPr>
        <w:t>40,0</w:t>
      </w:r>
      <w:r w:rsidRPr="008E030E">
        <w:rPr>
          <w:rFonts w:ascii="Arial" w:hAnsi="Arial" w:cs="Arial"/>
          <w:sz w:val="22"/>
          <w:lang w:val="el-GR"/>
        </w:rPr>
        <w:t xml:space="preserve">% στο τρίμηνο, υποστηριζόμενα κυρίως από την ισχυρή δυναμική στην αγορά του ICT. Ειδικότερα, τα έσοδα από </w:t>
      </w:r>
      <w:r w:rsidR="008A0E9D" w:rsidRPr="008E030E">
        <w:rPr>
          <w:rFonts w:ascii="Arial" w:hAnsi="Arial" w:cs="Arial"/>
          <w:sz w:val="22"/>
          <w:lang w:val="el-GR"/>
        </w:rPr>
        <w:t xml:space="preserve">System Solutions </w:t>
      </w:r>
      <w:r w:rsidRPr="008E030E">
        <w:rPr>
          <w:rFonts w:ascii="Arial" w:hAnsi="Arial" w:cs="Arial"/>
          <w:sz w:val="22"/>
          <w:lang w:val="el-GR"/>
        </w:rPr>
        <w:t xml:space="preserve">σημείωσαν </w:t>
      </w:r>
      <w:r w:rsidR="001A78EF" w:rsidRPr="008E030E">
        <w:rPr>
          <w:rFonts w:ascii="Arial" w:hAnsi="Arial" w:cs="Arial"/>
          <w:sz w:val="22"/>
          <w:lang w:val="el-GR"/>
        </w:rPr>
        <w:t xml:space="preserve">ισχυρή </w:t>
      </w:r>
      <w:r w:rsidRPr="008E030E">
        <w:rPr>
          <w:rFonts w:ascii="Arial" w:hAnsi="Arial" w:cs="Arial"/>
          <w:sz w:val="22"/>
          <w:lang w:val="el-GR"/>
        </w:rPr>
        <w:t xml:space="preserve">αύξηση </w:t>
      </w:r>
      <w:r w:rsidR="009E3F66">
        <w:rPr>
          <w:rFonts w:ascii="Arial" w:hAnsi="Arial" w:cs="Arial"/>
          <w:sz w:val="22"/>
          <w:lang w:val="el-GR"/>
        </w:rPr>
        <w:t>76,3</w:t>
      </w:r>
      <w:r w:rsidRPr="008E030E">
        <w:rPr>
          <w:rFonts w:ascii="Arial" w:hAnsi="Arial" w:cs="Arial"/>
          <w:sz w:val="22"/>
          <w:lang w:val="el-GR"/>
        </w:rPr>
        <w:t xml:space="preserve">% στο τρίμηνο. </w:t>
      </w:r>
      <w:r w:rsidR="00974D9D" w:rsidRPr="009E0030">
        <w:rPr>
          <w:rFonts w:ascii="Arial" w:hAnsi="Arial" w:cs="Arial"/>
          <w:sz w:val="22"/>
          <w:lang w:val="el-GR"/>
        </w:rPr>
        <w:t>Εν όψ</w:t>
      </w:r>
      <w:r w:rsidR="005534EB">
        <w:rPr>
          <w:rFonts w:ascii="Arial" w:hAnsi="Arial" w:cs="Arial"/>
          <w:sz w:val="22"/>
          <w:lang w:val="el-GR"/>
        </w:rPr>
        <w:t>ει</w:t>
      </w:r>
      <w:r w:rsidR="00974D9D" w:rsidRPr="009E0030">
        <w:rPr>
          <w:rFonts w:ascii="Arial" w:hAnsi="Arial" w:cs="Arial"/>
          <w:sz w:val="22"/>
          <w:lang w:val="el-GR"/>
        </w:rPr>
        <w:t xml:space="preserve"> της</w:t>
      </w:r>
      <w:r w:rsidR="001F3A05" w:rsidRPr="009E0030">
        <w:rPr>
          <w:rFonts w:ascii="Arial" w:hAnsi="Arial" w:cs="Arial"/>
          <w:sz w:val="22"/>
          <w:lang w:val="el-GR"/>
        </w:rPr>
        <w:t xml:space="preserve"> αναμενόμενης σταδιακής λήξης της χρηματοδότησης από το Ταμείο Ανάκαμψης και Ανθεκτικότητας, φορείς του δημόσιου και ιδιωτικού τομέα επιταχύνουν τις ενέργειές τους για την εξασφάλιση πόρων για έργα ψηφι</w:t>
      </w:r>
      <w:r w:rsidR="005534EB">
        <w:rPr>
          <w:rFonts w:ascii="Arial" w:hAnsi="Arial" w:cs="Arial"/>
          <w:sz w:val="22"/>
          <w:lang w:val="el-GR"/>
        </w:rPr>
        <w:t>ακ</w:t>
      </w:r>
      <w:r w:rsidR="001F3A05" w:rsidRPr="009E0030">
        <w:rPr>
          <w:rFonts w:ascii="Arial" w:hAnsi="Arial" w:cs="Arial"/>
          <w:sz w:val="22"/>
          <w:lang w:val="el-GR"/>
        </w:rPr>
        <w:t xml:space="preserve">οποίησης, ενώ ο ΟΤΕ συνεχίζει να ενισχύει τον ρόλο του ως </w:t>
      </w:r>
      <w:r w:rsidR="001F3A05" w:rsidRPr="009E0030">
        <w:rPr>
          <w:rFonts w:ascii="Arial" w:hAnsi="Arial" w:cs="Arial"/>
          <w:sz w:val="22"/>
          <w:lang w:val="el-GR"/>
        </w:rPr>
        <w:lastRenderedPageBreak/>
        <w:t xml:space="preserve">κορυφαίος system integrator, προωθώντας τον ψηφιακό μετασχηματισμό σε πολλαπλούς </w:t>
      </w:r>
      <w:r w:rsidR="009E0030" w:rsidRPr="009E0030">
        <w:rPr>
          <w:rFonts w:ascii="Arial" w:hAnsi="Arial" w:cs="Arial"/>
          <w:sz w:val="22"/>
          <w:lang w:val="el-GR"/>
        </w:rPr>
        <w:t>τομείς</w:t>
      </w:r>
      <w:r w:rsidR="001F3A05" w:rsidRPr="009E0030">
        <w:rPr>
          <w:rFonts w:ascii="Arial" w:hAnsi="Arial" w:cs="Arial"/>
          <w:sz w:val="22"/>
          <w:lang w:val="el-GR"/>
        </w:rPr>
        <w:t xml:space="preserve">. </w:t>
      </w:r>
      <w:r w:rsidR="009641F0">
        <w:rPr>
          <w:rFonts w:ascii="Arial" w:hAnsi="Arial" w:cs="Arial"/>
          <w:sz w:val="22"/>
          <w:lang w:val="el-GR"/>
        </w:rPr>
        <w:t>Επιπλέον</w:t>
      </w:r>
      <w:r w:rsidR="001F3A05" w:rsidRPr="00DD548F">
        <w:rPr>
          <w:rFonts w:ascii="Arial" w:hAnsi="Arial" w:cs="Arial"/>
          <w:sz w:val="22"/>
          <w:lang w:val="el-GR"/>
        </w:rPr>
        <w:t>, η Εταιρεία</w:t>
      </w:r>
      <w:r w:rsidR="00213AFD" w:rsidRPr="00DD548F">
        <w:rPr>
          <w:rFonts w:ascii="Arial" w:hAnsi="Arial" w:cs="Arial"/>
          <w:sz w:val="22"/>
          <w:lang w:val="el-GR"/>
        </w:rPr>
        <w:t xml:space="preserve"> </w:t>
      </w:r>
      <w:r w:rsidR="001F3A05" w:rsidRPr="00DD548F">
        <w:rPr>
          <w:rFonts w:ascii="Arial" w:hAnsi="Arial" w:cs="Arial"/>
          <w:sz w:val="22"/>
          <w:lang w:val="el-GR"/>
        </w:rPr>
        <w:t xml:space="preserve">λάνσαρε ένα ολοκληρωμένο χαρτοφυλάκιο καινοτόμων υπηρεσιών </w:t>
      </w:r>
      <w:r w:rsidR="00C76F1C">
        <w:rPr>
          <w:rFonts w:ascii="Arial" w:hAnsi="Arial" w:cs="Arial"/>
          <w:sz w:val="22"/>
        </w:rPr>
        <w:t>Data</w:t>
      </w:r>
      <w:r w:rsidR="00C76F1C" w:rsidRPr="009B7B39">
        <w:rPr>
          <w:rFonts w:ascii="Arial" w:hAnsi="Arial" w:cs="Arial"/>
          <w:sz w:val="22"/>
          <w:lang w:val="el-GR"/>
        </w:rPr>
        <w:t xml:space="preserve"> </w:t>
      </w:r>
      <w:r w:rsidR="00C76F1C">
        <w:rPr>
          <w:rFonts w:ascii="Arial" w:hAnsi="Arial" w:cs="Arial"/>
          <w:sz w:val="22"/>
        </w:rPr>
        <w:t>Center</w:t>
      </w:r>
      <w:r w:rsidR="00AE5040" w:rsidRPr="009B7B39">
        <w:rPr>
          <w:rFonts w:ascii="Arial" w:hAnsi="Arial" w:cs="Arial"/>
          <w:sz w:val="22"/>
          <w:lang w:val="el-GR"/>
        </w:rPr>
        <w:t>,</w:t>
      </w:r>
      <w:r w:rsidR="00C76F1C" w:rsidRPr="009B7B39">
        <w:rPr>
          <w:rFonts w:ascii="Arial" w:hAnsi="Arial" w:cs="Arial"/>
          <w:sz w:val="22"/>
          <w:lang w:val="el-GR"/>
        </w:rPr>
        <w:t xml:space="preserve"> </w:t>
      </w:r>
      <w:r w:rsidR="00170B53">
        <w:rPr>
          <w:rFonts w:ascii="Arial" w:hAnsi="Arial" w:cs="Arial"/>
          <w:sz w:val="22"/>
          <w:lang w:val="el-GR"/>
        </w:rPr>
        <w:t xml:space="preserve">συμπεριλαμβανομένων υπηρεσιών </w:t>
      </w:r>
      <w:r w:rsidR="00213AFD" w:rsidRPr="00DD548F">
        <w:rPr>
          <w:rFonts w:ascii="Arial" w:hAnsi="Arial" w:cs="Arial"/>
          <w:sz w:val="22"/>
          <w:lang w:val="el-GR"/>
        </w:rPr>
        <w:t>GPU-as-a-Service</w:t>
      </w:r>
      <w:r w:rsidR="00AE5040" w:rsidRPr="009B7B39">
        <w:rPr>
          <w:rFonts w:ascii="Arial" w:hAnsi="Arial" w:cs="Arial"/>
          <w:sz w:val="22"/>
          <w:lang w:val="el-GR"/>
        </w:rPr>
        <w:t xml:space="preserve"> </w:t>
      </w:r>
      <w:r w:rsidR="00AE5040">
        <w:rPr>
          <w:rFonts w:ascii="Arial" w:hAnsi="Arial" w:cs="Arial"/>
          <w:sz w:val="22"/>
          <w:lang w:val="el-GR"/>
        </w:rPr>
        <w:t xml:space="preserve">για έργα </w:t>
      </w:r>
      <w:r w:rsidR="00AE5040" w:rsidRPr="00DD548F">
        <w:rPr>
          <w:rFonts w:ascii="Arial" w:hAnsi="Arial" w:cs="Arial"/>
          <w:sz w:val="22"/>
          <w:lang w:val="el-GR"/>
        </w:rPr>
        <w:t>τεχνητής  νοημοσύνης</w:t>
      </w:r>
      <w:r w:rsidR="001F3A05" w:rsidRPr="00DD548F">
        <w:rPr>
          <w:rFonts w:ascii="Arial" w:hAnsi="Arial" w:cs="Arial"/>
          <w:sz w:val="22"/>
          <w:lang w:val="el-GR"/>
        </w:rPr>
        <w:t xml:space="preserve">. </w:t>
      </w:r>
      <w:r w:rsidR="005534EB">
        <w:rPr>
          <w:rFonts w:ascii="Arial" w:hAnsi="Arial" w:cs="Arial"/>
          <w:sz w:val="22"/>
          <w:lang w:val="el-GR"/>
        </w:rPr>
        <w:t>Η</w:t>
      </w:r>
      <w:r w:rsidR="001F3A05" w:rsidRPr="00DD548F">
        <w:rPr>
          <w:rFonts w:ascii="Arial" w:hAnsi="Arial" w:cs="Arial"/>
          <w:sz w:val="22"/>
          <w:lang w:val="el-GR"/>
        </w:rPr>
        <w:t xml:space="preserve"> πρωτοβουλία αυτή επιτρέπει σε επιχειρήσεις και οργανισμούς να αναπτύσσουν εφαρμογές τεχνητής νοημοσύνης αποδοτικά, </w:t>
      </w:r>
      <w:r w:rsidR="005534EB">
        <w:rPr>
          <w:rFonts w:ascii="Arial" w:hAnsi="Arial" w:cs="Arial"/>
          <w:sz w:val="22"/>
          <w:lang w:val="el-GR"/>
        </w:rPr>
        <w:t>μέσα σε ένα ασφαλές περιβάλλον, συμβατό</w:t>
      </w:r>
      <w:r w:rsidR="00991472">
        <w:rPr>
          <w:rFonts w:ascii="Arial" w:hAnsi="Arial" w:cs="Arial"/>
          <w:sz w:val="22"/>
          <w:lang w:val="el-GR"/>
        </w:rPr>
        <w:t xml:space="preserve"> </w:t>
      </w:r>
      <w:r w:rsidR="001F3A05" w:rsidRPr="00DD548F">
        <w:rPr>
          <w:rFonts w:ascii="Arial" w:hAnsi="Arial" w:cs="Arial"/>
          <w:sz w:val="22"/>
          <w:lang w:val="el-GR"/>
        </w:rPr>
        <w:t>με το ευρωπαϊκό κανονιστικό πλαίσιο, ενισχύοντας την καινοτομία και την εθνική ψηφιακή κυριαρχία</w:t>
      </w:r>
      <w:r w:rsidR="001F3A05" w:rsidRPr="001F3A05">
        <w:rPr>
          <w:rFonts w:ascii="Arial" w:hAnsi="Arial" w:cs="Arial"/>
          <w:sz w:val="22"/>
          <w:lang w:val="el-GR"/>
        </w:rPr>
        <w:t>.</w:t>
      </w:r>
      <w:r w:rsidR="001F3A05" w:rsidRPr="006C3119">
        <w:rPr>
          <w:rFonts w:ascii="Arial" w:hAnsi="Arial" w:cs="Arial"/>
          <w:lang w:val="el-GR"/>
        </w:rPr>
        <w:t xml:space="preserve"> </w:t>
      </w:r>
    </w:p>
    <w:p w14:paraId="29A998BA" w14:textId="6F0C64BC" w:rsidR="005534EB" w:rsidRPr="008E030E" w:rsidRDefault="009E285A" w:rsidP="008E030E">
      <w:pPr>
        <w:spacing w:before="120" w:line="280" w:lineRule="exact"/>
        <w:jc w:val="both"/>
        <w:rPr>
          <w:rFonts w:ascii="Arial" w:hAnsi="Arial" w:cs="Arial"/>
        </w:rPr>
      </w:pPr>
      <w:r w:rsidRPr="008E030E">
        <w:rPr>
          <w:rFonts w:ascii="Arial" w:hAnsi="Arial" w:cs="Arial"/>
        </w:rPr>
        <w:t xml:space="preserve">Τα </w:t>
      </w:r>
      <w:r w:rsidRPr="008E030E">
        <w:rPr>
          <w:rFonts w:ascii="Arial" w:hAnsi="Arial" w:cs="Arial"/>
          <w:b/>
          <w:bCs/>
        </w:rPr>
        <w:t>συνολικά λειτουργικά έξοδ</w:t>
      </w:r>
      <w:r w:rsidR="0090661A" w:rsidRPr="008E030E">
        <w:rPr>
          <w:rFonts w:ascii="Arial" w:hAnsi="Arial" w:cs="Arial"/>
          <w:b/>
          <w:bCs/>
        </w:rPr>
        <w:t>α</w:t>
      </w:r>
      <w:r w:rsidRPr="008E030E">
        <w:rPr>
          <w:rFonts w:ascii="Arial" w:hAnsi="Arial" w:cs="Arial"/>
        </w:rPr>
        <w:t>, εξαιρουμένων των αποσβέσεων, των απομειώσεων</w:t>
      </w:r>
      <w:r w:rsidR="004F14DF" w:rsidRPr="008E030E">
        <w:rPr>
          <w:rFonts w:ascii="Arial" w:hAnsi="Arial" w:cs="Arial"/>
        </w:rPr>
        <w:t xml:space="preserve"> </w:t>
      </w:r>
      <w:r w:rsidR="009165B7" w:rsidRPr="008E030E">
        <w:rPr>
          <w:rFonts w:ascii="Arial" w:hAnsi="Arial" w:cs="Arial"/>
        </w:rPr>
        <w:t xml:space="preserve">και των επιβαρύνσεων που σχετίζονται </w:t>
      </w:r>
      <w:r w:rsidRPr="008E030E">
        <w:rPr>
          <w:rFonts w:ascii="Arial" w:hAnsi="Arial" w:cs="Arial"/>
        </w:rPr>
        <w:t>με</w:t>
      </w:r>
      <w:r w:rsidR="004F14DF" w:rsidRPr="008E030E">
        <w:rPr>
          <w:rFonts w:ascii="Arial" w:hAnsi="Arial" w:cs="Arial"/>
        </w:rPr>
        <w:t xml:space="preserve"> Προγράμματα Εθελούσιας Αποχώρησης και</w:t>
      </w:r>
      <w:r w:rsidRPr="008E030E">
        <w:rPr>
          <w:rFonts w:ascii="Arial" w:hAnsi="Arial" w:cs="Arial"/>
        </w:rPr>
        <w:t xml:space="preserve"> </w:t>
      </w:r>
      <w:r w:rsidR="006E50DF" w:rsidRPr="008E030E">
        <w:rPr>
          <w:rFonts w:ascii="Arial" w:hAnsi="Arial" w:cs="Arial"/>
        </w:rPr>
        <w:t xml:space="preserve">λοιπά έξοδα </w:t>
      </w:r>
      <w:r w:rsidRPr="008E030E">
        <w:rPr>
          <w:rFonts w:ascii="Arial" w:hAnsi="Arial" w:cs="Arial"/>
        </w:rPr>
        <w:t>αναδιοργάνωσης</w:t>
      </w:r>
      <w:r w:rsidR="004F14DF" w:rsidRPr="008E030E">
        <w:rPr>
          <w:rFonts w:ascii="Arial" w:hAnsi="Arial" w:cs="Arial"/>
        </w:rPr>
        <w:t xml:space="preserve">, </w:t>
      </w:r>
      <w:r w:rsidR="00CA7F4A" w:rsidRPr="008E030E">
        <w:rPr>
          <w:rFonts w:ascii="Arial" w:hAnsi="Arial" w:cs="Arial"/>
        </w:rPr>
        <w:t>διαμορφώθηκαν σε €</w:t>
      </w:r>
      <w:r w:rsidR="00CE2C10" w:rsidRPr="008E030E">
        <w:rPr>
          <w:rFonts w:ascii="Arial" w:hAnsi="Arial" w:cs="Arial"/>
        </w:rPr>
        <w:t>5</w:t>
      </w:r>
      <w:r w:rsidR="006F7054">
        <w:rPr>
          <w:rFonts w:ascii="Arial" w:hAnsi="Arial" w:cs="Arial"/>
        </w:rPr>
        <w:t>09</w:t>
      </w:r>
      <w:r w:rsidR="00CA7F4A" w:rsidRPr="008E030E">
        <w:rPr>
          <w:rFonts w:ascii="Arial" w:hAnsi="Arial" w:cs="Arial"/>
        </w:rPr>
        <w:t xml:space="preserve"> εκατ. στο τρίμηνο</w:t>
      </w:r>
      <w:r w:rsidR="00BA6B7E" w:rsidRPr="008E030E">
        <w:rPr>
          <w:rFonts w:ascii="Arial" w:hAnsi="Arial" w:cs="Arial"/>
        </w:rPr>
        <w:t xml:space="preserve">, </w:t>
      </w:r>
      <w:r w:rsidR="00CE2C10" w:rsidRPr="008E030E">
        <w:rPr>
          <w:rFonts w:ascii="Arial" w:hAnsi="Arial" w:cs="Arial"/>
        </w:rPr>
        <w:t>αυξημένα κατά €</w:t>
      </w:r>
      <w:r w:rsidR="006F7054">
        <w:rPr>
          <w:rFonts w:ascii="Arial" w:hAnsi="Arial" w:cs="Arial"/>
        </w:rPr>
        <w:t>32,5</w:t>
      </w:r>
      <w:r w:rsidR="00A904B7" w:rsidRPr="008E030E">
        <w:rPr>
          <w:rFonts w:ascii="Arial" w:hAnsi="Arial" w:cs="Arial"/>
        </w:rPr>
        <w:t xml:space="preserve"> </w:t>
      </w:r>
      <w:r w:rsidR="00CE2C10" w:rsidRPr="008E030E">
        <w:rPr>
          <w:rFonts w:ascii="Arial" w:hAnsi="Arial" w:cs="Arial"/>
        </w:rPr>
        <w:t xml:space="preserve">εκατ. </w:t>
      </w:r>
      <w:r w:rsidR="00FC10CB" w:rsidRPr="008E030E">
        <w:rPr>
          <w:rFonts w:ascii="Arial" w:hAnsi="Arial" w:cs="Arial"/>
        </w:rPr>
        <w:t>σε ετήσια βάση</w:t>
      </w:r>
      <w:r w:rsidR="00BA6B7E" w:rsidRPr="008E030E">
        <w:rPr>
          <w:rFonts w:ascii="Arial" w:hAnsi="Arial" w:cs="Arial"/>
        </w:rPr>
        <w:t xml:space="preserve">, </w:t>
      </w:r>
      <w:r w:rsidR="00CE2C10" w:rsidRPr="008E030E">
        <w:rPr>
          <w:rFonts w:ascii="Arial" w:hAnsi="Arial" w:cs="Arial"/>
        </w:rPr>
        <w:t>αντανακλώντας τη σημαντική αύξηση</w:t>
      </w:r>
      <w:r w:rsidR="00FC10CB" w:rsidRPr="008E030E">
        <w:rPr>
          <w:rFonts w:ascii="Arial" w:hAnsi="Arial" w:cs="Arial"/>
        </w:rPr>
        <w:t xml:space="preserve"> των εσόδων</w:t>
      </w:r>
      <w:r w:rsidR="00CA7F4A" w:rsidRPr="008E030E">
        <w:rPr>
          <w:rFonts w:ascii="Arial" w:hAnsi="Arial" w:cs="Arial"/>
        </w:rPr>
        <w:t xml:space="preserve">. </w:t>
      </w:r>
      <w:r w:rsidR="00003607" w:rsidRPr="00003607">
        <w:rPr>
          <w:rFonts w:ascii="Arial" w:hAnsi="Arial" w:cs="Arial"/>
        </w:rPr>
        <w:t>Αυτό αντικατοπτρίζει κυρίως υψηλότερ</w:t>
      </w:r>
      <w:r w:rsidR="00003607">
        <w:rPr>
          <w:rFonts w:ascii="Arial" w:hAnsi="Arial" w:cs="Arial"/>
        </w:rPr>
        <w:t>α κόστη</w:t>
      </w:r>
      <w:r w:rsidR="00003607" w:rsidRPr="00003607">
        <w:rPr>
          <w:rFonts w:ascii="Arial" w:hAnsi="Arial" w:cs="Arial"/>
        </w:rPr>
        <w:t xml:space="preserve"> που σχετίζονται με το ICT, </w:t>
      </w:r>
      <w:r w:rsidR="005534EB">
        <w:rPr>
          <w:rFonts w:ascii="Arial" w:hAnsi="Arial" w:cs="Arial"/>
        </w:rPr>
        <w:t>την αύξηση συνδρομητών</w:t>
      </w:r>
      <w:r w:rsidR="00622A9A" w:rsidRPr="003E4DD0">
        <w:rPr>
          <w:rFonts w:ascii="Arial" w:hAnsi="Arial" w:cs="Arial"/>
        </w:rPr>
        <w:t xml:space="preserve"> FTTH</w:t>
      </w:r>
      <w:r w:rsidR="00003607" w:rsidRPr="00003607">
        <w:rPr>
          <w:rFonts w:ascii="Arial" w:hAnsi="Arial" w:cs="Arial"/>
        </w:rPr>
        <w:t xml:space="preserve"> καθώς και αυξημένα κόστη marketing.</w:t>
      </w:r>
    </w:p>
    <w:p w14:paraId="12514F5E" w14:textId="344D09EA" w:rsidR="00CA4F2E" w:rsidRDefault="00A31E8E" w:rsidP="008E3861">
      <w:pPr>
        <w:pStyle w:val="NormalWeb"/>
        <w:spacing w:line="276" w:lineRule="auto"/>
        <w:jc w:val="both"/>
        <w:rPr>
          <w:rFonts w:ascii="Arial" w:hAnsi="Arial" w:cs="Arial"/>
          <w:sz w:val="22"/>
          <w:szCs w:val="22"/>
          <w:lang w:eastAsia="en-US"/>
        </w:rPr>
      </w:pPr>
      <w:r w:rsidRPr="00CE0FC0">
        <w:rPr>
          <w:rFonts w:ascii="Arial" w:hAnsi="Arial" w:cs="Arial"/>
          <w:b/>
          <w:sz w:val="22"/>
          <w:szCs w:val="22"/>
        </w:rPr>
        <w:t>Το</w:t>
      </w:r>
      <w:r w:rsidR="009E285A" w:rsidRPr="00CE0FC0" w:rsidDel="0012664C">
        <w:rPr>
          <w:rFonts w:ascii="Arial" w:hAnsi="Arial" w:cs="Arial"/>
          <w:b/>
          <w:sz w:val="22"/>
          <w:szCs w:val="22"/>
        </w:rPr>
        <w:t xml:space="preserve"> </w:t>
      </w:r>
      <w:r w:rsidR="009E285A" w:rsidRPr="00CE0FC0">
        <w:rPr>
          <w:rFonts w:ascii="Arial" w:hAnsi="Arial" w:cs="Arial"/>
          <w:b/>
          <w:sz w:val="22"/>
          <w:szCs w:val="22"/>
        </w:rPr>
        <w:t>προσαρμοσμέν</w:t>
      </w:r>
      <w:r w:rsidRPr="00CE0FC0">
        <w:rPr>
          <w:rFonts w:ascii="Arial" w:hAnsi="Arial" w:cs="Arial"/>
          <w:b/>
          <w:sz w:val="22"/>
          <w:szCs w:val="22"/>
        </w:rPr>
        <w:t>ο</w:t>
      </w:r>
      <w:r w:rsidR="009E285A" w:rsidRPr="00CE0FC0">
        <w:rPr>
          <w:rFonts w:ascii="Arial" w:hAnsi="Arial" w:cs="Arial"/>
          <w:b/>
          <w:sz w:val="22"/>
          <w:szCs w:val="22"/>
        </w:rPr>
        <w:t xml:space="preserve"> </w:t>
      </w:r>
      <w:r w:rsidR="009E285A" w:rsidRPr="00CE0FC0">
        <w:rPr>
          <w:rFonts w:ascii="Arial" w:hAnsi="Arial" w:cs="Arial"/>
          <w:b/>
          <w:sz w:val="22"/>
          <w:szCs w:val="22"/>
          <w:lang w:val="en-US"/>
        </w:rPr>
        <w:t>EBITDA</w:t>
      </w:r>
      <w:r w:rsidR="009E285A" w:rsidRPr="00CE0FC0" w:rsidDel="00184804">
        <w:rPr>
          <w:rFonts w:ascii="Arial" w:hAnsi="Arial" w:cs="Arial"/>
          <w:b/>
          <w:sz w:val="22"/>
          <w:szCs w:val="22"/>
        </w:rPr>
        <w:t xml:space="preserve"> </w:t>
      </w:r>
      <w:r w:rsidR="009E285A" w:rsidRPr="00CE0FC0">
        <w:rPr>
          <w:rFonts w:ascii="Arial" w:hAnsi="Arial" w:cs="Arial"/>
          <w:b/>
          <w:sz w:val="22"/>
          <w:szCs w:val="22"/>
        </w:rPr>
        <w:t>(</w:t>
      </w:r>
      <w:r w:rsidR="009E285A" w:rsidRPr="00CE0FC0">
        <w:rPr>
          <w:rFonts w:ascii="Arial" w:hAnsi="Arial" w:cs="Arial"/>
          <w:b/>
          <w:sz w:val="22"/>
          <w:szCs w:val="22"/>
          <w:lang w:val="en-US"/>
        </w:rPr>
        <w:t>AL</w:t>
      </w:r>
      <w:r w:rsidR="009E285A" w:rsidRPr="00CE0FC0">
        <w:rPr>
          <w:rFonts w:ascii="Arial" w:hAnsi="Arial" w:cs="Arial"/>
          <w:b/>
          <w:sz w:val="22"/>
          <w:szCs w:val="22"/>
        </w:rPr>
        <w:t xml:space="preserve">) </w:t>
      </w:r>
      <w:r w:rsidR="00FA7D70" w:rsidRPr="00042446">
        <w:rPr>
          <w:rFonts w:ascii="Arial" w:hAnsi="Arial" w:cs="Arial"/>
          <w:sz w:val="22"/>
          <w:szCs w:val="22"/>
          <w:lang w:eastAsia="en-US"/>
        </w:rPr>
        <w:t xml:space="preserve"> </w:t>
      </w:r>
      <w:r w:rsidR="00FA7D70" w:rsidRPr="0094511B">
        <w:rPr>
          <w:rFonts w:ascii="Arial" w:hAnsi="Arial" w:cs="Arial"/>
          <w:sz w:val="22"/>
          <w:szCs w:val="22"/>
          <w:lang w:eastAsia="en-US"/>
        </w:rPr>
        <w:t xml:space="preserve">αυξήθηκε </w:t>
      </w:r>
      <w:r w:rsidR="00CA4F2E" w:rsidDel="002F4488">
        <w:rPr>
          <w:rFonts w:ascii="Arial" w:hAnsi="Arial" w:cs="Arial"/>
          <w:sz w:val="22"/>
          <w:szCs w:val="22"/>
          <w:lang w:eastAsia="en-US"/>
        </w:rPr>
        <w:t>περαιτέρω</w:t>
      </w:r>
      <w:r w:rsidR="00CA4F2E">
        <w:rPr>
          <w:rFonts w:ascii="Arial" w:hAnsi="Arial" w:cs="Arial"/>
          <w:sz w:val="22"/>
          <w:szCs w:val="22"/>
          <w:lang w:eastAsia="en-US"/>
        </w:rPr>
        <w:t xml:space="preserve"> </w:t>
      </w:r>
      <w:r w:rsidR="00FA7D70" w:rsidRPr="0094511B">
        <w:rPr>
          <w:rFonts w:ascii="Arial" w:hAnsi="Arial" w:cs="Arial"/>
          <w:sz w:val="22"/>
          <w:szCs w:val="22"/>
          <w:lang w:eastAsia="en-US"/>
        </w:rPr>
        <w:t>κατά 2,</w:t>
      </w:r>
      <w:r w:rsidR="00CA4F2E">
        <w:rPr>
          <w:rFonts w:ascii="Arial" w:hAnsi="Arial" w:cs="Arial"/>
          <w:sz w:val="22"/>
          <w:szCs w:val="22"/>
          <w:lang w:eastAsia="en-US"/>
        </w:rPr>
        <w:t>8</w:t>
      </w:r>
      <w:r w:rsidR="00FA7D70" w:rsidRPr="0094511B">
        <w:rPr>
          <w:rFonts w:ascii="Arial" w:hAnsi="Arial" w:cs="Arial"/>
          <w:sz w:val="22"/>
          <w:szCs w:val="22"/>
          <w:lang w:eastAsia="en-US"/>
        </w:rPr>
        <w:t>%, στα €3</w:t>
      </w:r>
      <w:r w:rsidR="00CA4F2E">
        <w:rPr>
          <w:rFonts w:ascii="Arial" w:hAnsi="Arial" w:cs="Arial"/>
          <w:sz w:val="22"/>
          <w:szCs w:val="22"/>
          <w:lang w:eastAsia="en-US"/>
        </w:rPr>
        <w:t>38,4</w:t>
      </w:r>
      <w:r w:rsidR="00FA7D70" w:rsidRPr="0094511B">
        <w:rPr>
          <w:rFonts w:ascii="Arial" w:hAnsi="Arial" w:cs="Arial"/>
          <w:sz w:val="22"/>
          <w:szCs w:val="22"/>
          <w:lang w:eastAsia="en-US"/>
        </w:rPr>
        <w:t xml:space="preserve"> εκατ. Το αντίστοιχο περιθώριο διαμορφώθηκε σε </w:t>
      </w:r>
      <w:r w:rsidR="00247785" w:rsidRPr="0094511B">
        <w:rPr>
          <w:rFonts w:ascii="Arial" w:hAnsi="Arial" w:cs="Arial"/>
          <w:sz w:val="22"/>
          <w:szCs w:val="22"/>
          <w:lang w:eastAsia="en-US"/>
        </w:rPr>
        <w:t>3</w:t>
      </w:r>
      <w:r w:rsidR="005D2780">
        <w:rPr>
          <w:rFonts w:ascii="Arial" w:hAnsi="Arial" w:cs="Arial"/>
          <w:sz w:val="22"/>
          <w:szCs w:val="22"/>
          <w:lang w:eastAsia="en-US"/>
        </w:rPr>
        <w:t>9,4</w:t>
      </w:r>
      <w:r w:rsidR="00FA7D70" w:rsidRPr="0094511B">
        <w:rPr>
          <w:rFonts w:ascii="Arial" w:hAnsi="Arial" w:cs="Arial"/>
          <w:sz w:val="22"/>
          <w:szCs w:val="22"/>
          <w:lang w:eastAsia="en-US"/>
        </w:rPr>
        <w:t>%, έναντι 4</w:t>
      </w:r>
      <w:r w:rsidR="00247785" w:rsidRPr="0094511B">
        <w:rPr>
          <w:rFonts w:ascii="Arial" w:hAnsi="Arial" w:cs="Arial"/>
          <w:sz w:val="22"/>
          <w:szCs w:val="22"/>
          <w:lang w:eastAsia="en-US"/>
        </w:rPr>
        <w:t>0,</w:t>
      </w:r>
      <w:r w:rsidR="005D2780">
        <w:rPr>
          <w:rFonts w:ascii="Arial" w:hAnsi="Arial" w:cs="Arial"/>
          <w:sz w:val="22"/>
          <w:szCs w:val="22"/>
          <w:lang w:eastAsia="en-US"/>
        </w:rPr>
        <w:t>2</w:t>
      </w:r>
      <w:r w:rsidR="00FA7D70" w:rsidRPr="0094511B">
        <w:rPr>
          <w:rFonts w:ascii="Arial" w:hAnsi="Arial" w:cs="Arial"/>
          <w:sz w:val="22"/>
          <w:szCs w:val="22"/>
          <w:lang w:eastAsia="en-US"/>
        </w:rPr>
        <w:t xml:space="preserve">% το </w:t>
      </w:r>
      <w:r w:rsidR="005D2780">
        <w:rPr>
          <w:rFonts w:ascii="Arial" w:hAnsi="Arial" w:cs="Arial"/>
          <w:sz w:val="22"/>
          <w:szCs w:val="22"/>
          <w:lang w:eastAsia="en-US"/>
        </w:rPr>
        <w:t>Α</w:t>
      </w:r>
      <w:r w:rsidR="00FA7D70" w:rsidRPr="0094511B">
        <w:rPr>
          <w:rFonts w:ascii="Arial" w:hAnsi="Arial" w:cs="Arial"/>
          <w:sz w:val="22"/>
          <w:szCs w:val="22"/>
          <w:lang w:eastAsia="en-US"/>
        </w:rPr>
        <w:t>’ τρίμηνο του 202</w:t>
      </w:r>
      <w:r w:rsidR="005D2780">
        <w:rPr>
          <w:rFonts w:ascii="Arial" w:hAnsi="Arial" w:cs="Arial"/>
          <w:sz w:val="22"/>
          <w:szCs w:val="22"/>
          <w:lang w:eastAsia="en-US"/>
        </w:rPr>
        <w:t>5</w:t>
      </w:r>
      <w:r w:rsidR="00FA7D70" w:rsidRPr="0094511B">
        <w:rPr>
          <w:rFonts w:ascii="Arial" w:hAnsi="Arial" w:cs="Arial"/>
          <w:sz w:val="22"/>
          <w:szCs w:val="22"/>
          <w:lang w:eastAsia="en-US"/>
        </w:rPr>
        <w:t>, κυρίως λόγω της μεγαλύτερης συμβολής εσόδων από δραστηριότητες χαμηλότερου περιθωρίου κέρδους</w:t>
      </w:r>
      <w:r w:rsidR="00247785" w:rsidRPr="0094511B">
        <w:rPr>
          <w:rFonts w:ascii="Arial" w:hAnsi="Arial" w:cs="Arial"/>
          <w:sz w:val="22"/>
          <w:szCs w:val="22"/>
          <w:lang w:eastAsia="en-US"/>
        </w:rPr>
        <w:t xml:space="preserve"> και ειδικότερα τη</w:t>
      </w:r>
      <w:r w:rsidR="00AE1853">
        <w:rPr>
          <w:rFonts w:ascii="Arial" w:hAnsi="Arial" w:cs="Arial"/>
          <w:sz w:val="22"/>
          <w:szCs w:val="22"/>
          <w:lang w:eastAsia="en-US"/>
        </w:rPr>
        <w:t>ς</w:t>
      </w:r>
      <w:r w:rsidR="00247785" w:rsidRPr="0094511B">
        <w:rPr>
          <w:rFonts w:ascii="Arial" w:hAnsi="Arial" w:cs="Arial"/>
          <w:sz w:val="22"/>
          <w:szCs w:val="22"/>
          <w:lang w:eastAsia="en-US"/>
        </w:rPr>
        <w:t xml:space="preserve"> αύξηση</w:t>
      </w:r>
      <w:r w:rsidR="00AE1853">
        <w:rPr>
          <w:rFonts w:ascii="Arial" w:hAnsi="Arial" w:cs="Arial"/>
          <w:sz w:val="22"/>
          <w:szCs w:val="22"/>
          <w:lang w:eastAsia="en-US"/>
        </w:rPr>
        <w:t>ς</w:t>
      </w:r>
      <w:r w:rsidR="00247785" w:rsidRPr="0094511B">
        <w:rPr>
          <w:rFonts w:ascii="Arial" w:hAnsi="Arial" w:cs="Arial"/>
          <w:sz w:val="22"/>
          <w:szCs w:val="22"/>
          <w:lang w:eastAsia="en-US"/>
        </w:rPr>
        <w:t xml:space="preserve"> των εσόδων από </w:t>
      </w:r>
      <w:r w:rsidR="002302E9">
        <w:rPr>
          <w:rFonts w:ascii="Arial" w:hAnsi="Arial" w:cs="Arial"/>
          <w:sz w:val="22"/>
          <w:szCs w:val="22"/>
          <w:lang w:val="en-US" w:eastAsia="en-US"/>
        </w:rPr>
        <w:t>S</w:t>
      </w:r>
      <w:r w:rsidR="00247785" w:rsidRPr="0094511B">
        <w:rPr>
          <w:rFonts w:ascii="Arial" w:hAnsi="Arial" w:cs="Arial"/>
          <w:sz w:val="22"/>
          <w:szCs w:val="22"/>
          <w:lang w:val="en-US" w:eastAsia="en-US"/>
        </w:rPr>
        <w:t>ystem</w:t>
      </w:r>
      <w:r w:rsidR="00247785" w:rsidRPr="0094511B">
        <w:rPr>
          <w:rFonts w:ascii="Arial" w:hAnsi="Arial" w:cs="Arial"/>
          <w:sz w:val="22"/>
          <w:szCs w:val="22"/>
          <w:lang w:eastAsia="en-US"/>
        </w:rPr>
        <w:t xml:space="preserve"> </w:t>
      </w:r>
      <w:r w:rsidR="002302E9">
        <w:rPr>
          <w:rFonts w:ascii="Arial" w:hAnsi="Arial" w:cs="Arial"/>
          <w:sz w:val="22"/>
          <w:szCs w:val="22"/>
          <w:lang w:val="en-US" w:eastAsia="en-US"/>
        </w:rPr>
        <w:t>S</w:t>
      </w:r>
      <w:r w:rsidR="00247785" w:rsidRPr="0094511B">
        <w:rPr>
          <w:rFonts w:ascii="Arial" w:hAnsi="Arial" w:cs="Arial"/>
          <w:sz w:val="22"/>
          <w:szCs w:val="22"/>
          <w:lang w:val="en-US" w:eastAsia="en-US"/>
        </w:rPr>
        <w:t>olutions</w:t>
      </w:r>
      <w:r w:rsidR="00C8138C" w:rsidRPr="0094511B">
        <w:rPr>
          <w:rFonts w:ascii="Arial" w:hAnsi="Arial" w:cs="Arial"/>
          <w:sz w:val="22"/>
          <w:szCs w:val="22"/>
          <w:lang w:eastAsia="en-US"/>
        </w:rPr>
        <w:t xml:space="preserve">. </w:t>
      </w:r>
      <w:r w:rsidR="00FA7D70" w:rsidRPr="0094511B">
        <w:rPr>
          <w:rFonts w:ascii="Arial" w:hAnsi="Arial" w:cs="Arial"/>
          <w:sz w:val="22"/>
          <w:szCs w:val="22"/>
          <w:lang w:eastAsia="en-US"/>
        </w:rPr>
        <w:t>Παράλληλα με την αύξηση των εσόδων, οι συνεχιζόμενες εξοικονομήσεις</w:t>
      </w:r>
      <w:r w:rsidR="007B6BB8" w:rsidRPr="0094511B">
        <w:rPr>
          <w:rFonts w:ascii="Arial" w:hAnsi="Arial" w:cs="Arial"/>
          <w:sz w:val="22"/>
          <w:szCs w:val="22"/>
          <w:lang w:eastAsia="en-US"/>
        </w:rPr>
        <w:t>,</w:t>
      </w:r>
      <w:r w:rsidR="00FA7D70" w:rsidRPr="0094511B" w:rsidDel="007B6BB8">
        <w:rPr>
          <w:rFonts w:ascii="Arial" w:hAnsi="Arial" w:cs="Arial"/>
          <w:sz w:val="22"/>
          <w:szCs w:val="22"/>
          <w:lang w:eastAsia="en-US"/>
        </w:rPr>
        <w:t xml:space="preserve"> </w:t>
      </w:r>
      <w:r w:rsidR="00FA7D70" w:rsidRPr="0094511B">
        <w:rPr>
          <w:rFonts w:ascii="Arial" w:hAnsi="Arial" w:cs="Arial"/>
          <w:sz w:val="22"/>
          <w:szCs w:val="22"/>
          <w:lang w:eastAsia="en-US"/>
        </w:rPr>
        <w:t>ιδίως στο κόστος προσωπικού</w:t>
      </w:r>
      <w:r w:rsidR="007B6BB8" w:rsidRPr="0094511B">
        <w:rPr>
          <w:rFonts w:ascii="Arial" w:hAnsi="Arial" w:cs="Arial"/>
          <w:sz w:val="22"/>
          <w:szCs w:val="22"/>
          <w:lang w:eastAsia="en-US"/>
        </w:rPr>
        <w:t>,</w:t>
      </w:r>
      <w:r w:rsidR="00FA7D70" w:rsidRPr="0094511B">
        <w:rPr>
          <w:rFonts w:ascii="Arial" w:hAnsi="Arial" w:cs="Arial"/>
          <w:sz w:val="22"/>
          <w:szCs w:val="22"/>
          <w:lang w:eastAsia="en-US"/>
        </w:rPr>
        <w:t xml:space="preserve"> συνέβαλαν στην αντιστάθμιση ορισμένων αυξήσεων κόστους κατά τ</w:t>
      </w:r>
      <w:r w:rsidR="00FA7D70" w:rsidRPr="00042446">
        <w:rPr>
          <w:rFonts w:ascii="Arial" w:hAnsi="Arial" w:cs="Arial"/>
          <w:sz w:val="22"/>
          <w:szCs w:val="22"/>
          <w:lang w:eastAsia="en-US"/>
        </w:rPr>
        <w:t>ην περίοδο.</w:t>
      </w:r>
    </w:p>
    <w:p w14:paraId="16FE76AB" w14:textId="1FDFEBE4" w:rsidR="001D0DC7" w:rsidRDefault="002E7A41" w:rsidP="006E0597">
      <w:pPr>
        <w:spacing w:before="120" w:line="280" w:lineRule="exact"/>
        <w:jc w:val="both"/>
        <w:rPr>
          <w:rFonts w:ascii="Arial" w:eastAsia="Times New Roman" w:hAnsi="Arial" w:cs="Arial"/>
        </w:rPr>
      </w:pPr>
      <w:r w:rsidRPr="00DC1E0D">
        <w:rPr>
          <w:rFonts w:ascii="Arial" w:eastAsia="Times New Roman" w:hAnsi="Arial" w:cs="Arial"/>
          <w:b/>
          <w:bCs/>
        </w:rPr>
        <w:t>Τα λειτουργικά κέρδη προ χρηματοοικονομικών</w:t>
      </w:r>
      <w:r w:rsidR="00DC1E0D" w:rsidRPr="00DC1E0D">
        <w:rPr>
          <w:rFonts w:ascii="Arial" w:eastAsia="Times New Roman" w:hAnsi="Arial" w:cs="Arial"/>
          <w:b/>
          <w:bCs/>
        </w:rPr>
        <w:t xml:space="preserve"> </w:t>
      </w:r>
      <w:r w:rsidRPr="00DC1E0D">
        <w:rPr>
          <w:rFonts w:ascii="Arial" w:eastAsia="Times New Roman" w:hAnsi="Arial" w:cs="Arial"/>
          <w:b/>
          <w:bCs/>
        </w:rPr>
        <w:t>και επενδυτικών δραστηριοτήτων</w:t>
      </w:r>
      <w:r w:rsidR="00103725" w:rsidRPr="00DC1E0D">
        <w:rPr>
          <w:rFonts w:ascii="Arial" w:eastAsia="Times New Roman" w:hAnsi="Arial" w:cs="Arial"/>
          <w:b/>
          <w:bCs/>
        </w:rPr>
        <w:t xml:space="preserve"> </w:t>
      </w:r>
      <w:r w:rsidRPr="00DC1E0D">
        <w:rPr>
          <w:rFonts w:ascii="Arial" w:eastAsia="Times New Roman" w:hAnsi="Arial" w:cs="Arial"/>
          <w:b/>
          <w:bCs/>
        </w:rPr>
        <w:t xml:space="preserve">(EBIT) </w:t>
      </w:r>
      <w:r w:rsidR="008242BD" w:rsidRPr="00DC1E0D">
        <w:rPr>
          <w:rFonts w:ascii="Arial" w:eastAsia="Times New Roman" w:hAnsi="Arial" w:cs="Arial"/>
        </w:rPr>
        <w:t xml:space="preserve">διαμορφώθηκαν </w:t>
      </w:r>
      <w:r w:rsidRPr="00DC1E0D">
        <w:rPr>
          <w:rFonts w:ascii="Arial" w:eastAsia="Times New Roman" w:hAnsi="Arial" w:cs="Arial"/>
        </w:rPr>
        <w:t>σε €</w:t>
      </w:r>
      <w:r w:rsidR="008E4BFD">
        <w:rPr>
          <w:rFonts w:ascii="Arial" w:eastAsia="Times New Roman" w:hAnsi="Arial" w:cs="Arial"/>
        </w:rPr>
        <w:t>188,9</w:t>
      </w:r>
      <w:r w:rsidR="008349D2">
        <w:rPr>
          <w:rFonts w:ascii="Arial" w:eastAsia="Times New Roman" w:hAnsi="Arial" w:cs="Arial"/>
        </w:rPr>
        <w:t xml:space="preserve"> </w:t>
      </w:r>
      <w:r w:rsidRPr="00DC1E0D">
        <w:rPr>
          <w:rFonts w:ascii="Arial" w:eastAsia="Times New Roman" w:hAnsi="Arial" w:cs="Arial"/>
        </w:rPr>
        <w:t>εκατ.</w:t>
      </w:r>
      <w:r w:rsidR="00CB641A" w:rsidRPr="00DC1E0D">
        <w:rPr>
          <w:rFonts w:ascii="Arial" w:eastAsia="Times New Roman" w:hAnsi="Arial" w:cs="Arial"/>
        </w:rPr>
        <w:t>,</w:t>
      </w:r>
      <w:r w:rsidRPr="00DC1E0D">
        <w:rPr>
          <w:rFonts w:ascii="Arial" w:eastAsia="Times New Roman" w:hAnsi="Arial" w:cs="Arial"/>
        </w:rPr>
        <w:t xml:space="preserve"> </w:t>
      </w:r>
      <w:r w:rsidR="00C8138C">
        <w:rPr>
          <w:rFonts w:ascii="Arial" w:eastAsia="Times New Roman" w:hAnsi="Arial" w:cs="Arial"/>
        </w:rPr>
        <w:t>αυξημένα</w:t>
      </w:r>
      <w:r w:rsidRPr="00DC1E0D">
        <w:rPr>
          <w:rFonts w:ascii="Arial" w:eastAsia="Times New Roman" w:hAnsi="Arial" w:cs="Arial"/>
        </w:rPr>
        <w:t xml:space="preserve"> κατά </w:t>
      </w:r>
      <w:r w:rsidR="00C8138C">
        <w:rPr>
          <w:rFonts w:ascii="Arial" w:eastAsia="Times New Roman" w:hAnsi="Arial" w:cs="Arial"/>
        </w:rPr>
        <w:t>0</w:t>
      </w:r>
      <w:r w:rsidR="008E4BFD">
        <w:rPr>
          <w:rFonts w:ascii="Arial" w:eastAsia="Times New Roman" w:hAnsi="Arial" w:cs="Arial"/>
        </w:rPr>
        <w:t>,5</w:t>
      </w:r>
      <w:r w:rsidRPr="00DC1E0D">
        <w:rPr>
          <w:rFonts w:ascii="Arial" w:eastAsia="Times New Roman" w:hAnsi="Arial" w:cs="Arial"/>
        </w:rPr>
        <w:t>% σε σύγκριση με ένα</w:t>
      </w:r>
      <w:r w:rsidR="002302E9">
        <w:rPr>
          <w:rFonts w:ascii="Arial" w:eastAsia="Times New Roman" w:hAnsi="Arial" w:cs="Arial"/>
        </w:rPr>
        <w:t>ν</w:t>
      </w:r>
      <w:r w:rsidRPr="00DC1E0D">
        <w:rPr>
          <w:rFonts w:ascii="Arial" w:eastAsia="Times New Roman" w:hAnsi="Arial" w:cs="Arial"/>
        </w:rPr>
        <w:t xml:space="preserve"> χρόνο πριν, κυρίως λόγω </w:t>
      </w:r>
      <w:r w:rsidR="00C8138C">
        <w:rPr>
          <w:rFonts w:ascii="Arial" w:eastAsia="Times New Roman" w:hAnsi="Arial" w:cs="Arial"/>
        </w:rPr>
        <w:t>αύξησης της λειτουργικής κερδοφορίας (</w:t>
      </w:r>
      <w:r w:rsidR="00C8138C">
        <w:rPr>
          <w:rFonts w:ascii="Arial" w:eastAsia="Times New Roman" w:hAnsi="Arial" w:cs="Arial"/>
          <w:lang w:val="en-US"/>
        </w:rPr>
        <w:t>EBITDA</w:t>
      </w:r>
      <w:r w:rsidR="00C8138C" w:rsidRPr="00C8138C">
        <w:rPr>
          <w:rFonts w:ascii="Arial" w:eastAsia="Times New Roman" w:hAnsi="Arial" w:cs="Arial"/>
        </w:rPr>
        <w:t xml:space="preserve">) </w:t>
      </w:r>
      <w:r w:rsidR="00C8138C">
        <w:rPr>
          <w:rFonts w:ascii="Arial" w:eastAsia="Times New Roman" w:hAnsi="Arial" w:cs="Arial"/>
        </w:rPr>
        <w:t>στ</w:t>
      </w:r>
      <w:r w:rsidR="00DC1E0D" w:rsidRPr="00DC1E0D">
        <w:rPr>
          <w:rFonts w:ascii="Arial" w:eastAsia="Times New Roman" w:hAnsi="Arial" w:cs="Arial"/>
        </w:rPr>
        <w:t>ο τρίμηνο</w:t>
      </w:r>
      <w:r w:rsidR="008E4BFD">
        <w:rPr>
          <w:rFonts w:ascii="Arial" w:eastAsia="Times New Roman" w:hAnsi="Arial" w:cs="Arial"/>
        </w:rPr>
        <w:t xml:space="preserve">, η οποία </w:t>
      </w:r>
      <w:r w:rsidR="008E4BFD" w:rsidRPr="008E4BFD">
        <w:rPr>
          <w:rFonts w:ascii="Arial" w:eastAsia="Times New Roman" w:hAnsi="Arial" w:cs="Arial"/>
        </w:rPr>
        <w:t xml:space="preserve">αντισταθμίστηκε σε μεγάλο βαθμό από υψηλότερο κόστος προγραμμάτων εθελούσιας αποχώρησης — </w:t>
      </w:r>
      <w:r w:rsidR="001D0DC7">
        <w:rPr>
          <w:rFonts w:ascii="Arial" w:eastAsia="Times New Roman" w:hAnsi="Arial" w:cs="Arial"/>
        </w:rPr>
        <w:t>τα οποία υλοποιήθηκαν νωρίτερα</w:t>
      </w:r>
      <w:r w:rsidR="008E4BFD" w:rsidRPr="008E4BFD">
        <w:rPr>
          <w:rFonts w:ascii="Arial" w:eastAsia="Times New Roman" w:hAnsi="Arial" w:cs="Arial"/>
        </w:rPr>
        <w:t xml:space="preserve"> σε σύγκριση με το προηγούμενο έτος — καθώς και από αυξημένες αποσβέσεις.</w:t>
      </w:r>
    </w:p>
    <w:p w14:paraId="4578FACD" w14:textId="41D032AE" w:rsidR="002B70A4" w:rsidRDefault="002B70A4" w:rsidP="006E0597">
      <w:pPr>
        <w:spacing w:before="120" w:line="280" w:lineRule="exact"/>
        <w:jc w:val="both"/>
        <w:rPr>
          <w:rFonts w:ascii="Arial" w:eastAsia="Times New Roman" w:hAnsi="Arial" w:cs="Arial"/>
        </w:rPr>
      </w:pPr>
      <w:r>
        <w:rPr>
          <w:rFonts w:ascii="Arial" w:hAnsi="Arial" w:cs="Arial"/>
        </w:rPr>
        <w:t xml:space="preserve">Τα </w:t>
      </w:r>
      <w:r w:rsidRPr="002B70A4">
        <w:rPr>
          <w:rFonts w:ascii="Arial" w:hAnsi="Arial" w:cs="Arial"/>
          <w:b/>
          <w:bCs/>
        </w:rPr>
        <w:t>Προσαρμοσμένα Κέρδη κατανεμημένα στους μετόχους της Εταιρείας</w:t>
      </w:r>
      <w:r w:rsidR="00814C42">
        <w:rPr>
          <w:rFonts w:ascii="Arial" w:hAnsi="Arial" w:cs="Arial"/>
          <w:b/>
          <w:bCs/>
        </w:rPr>
        <w:t xml:space="preserve"> </w:t>
      </w:r>
      <w:r w:rsidR="00814C42" w:rsidRPr="00DC1E0D">
        <w:rPr>
          <w:rFonts w:ascii="Arial" w:eastAsia="Times New Roman" w:hAnsi="Arial" w:cs="Arial"/>
        </w:rPr>
        <w:t>διαμορφώθηκαν σε</w:t>
      </w:r>
      <w:r w:rsidR="00814C42">
        <w:rPr>
          <w:rFonts w:ascii="Arial" w:eastAsia="Times New Roman" w:hAnsi="Arial" w:cs="Arial"/>
        </w:rPr>
        <w:t xml:space="preserve"> €153,6</w:t>
      </w:r>
      <w:r w:rsidR="00A91465">
        <w:rPr>
          <w:rFonts w:ascii="Arial" w:eastAsia="Times New Roman" w:hAnsi="Arial" w:cs="Arial"/>
        </w:rPr>
        <w:t xml:space="preserve"> </w:t>
      </w:r>
      <w:r w:rsidR="00814C42">
        <w:rPr>
          <w:rFonts w:ascii="Arial" w:eastAsia="Times New Roman" w:hAnsi="Arial" w:cs="Arial"/>
        </w:rPr>
        <w:t>εκ</w:t>
      </w:r>
      <w:r w:rsidR="00A91465">
        <w:rPr>
          <w:rFonts w:ascii="Arial" w:eastAsia="Times New Roman" w:hAnsi="Arial" w:cs="Arial"/>
        </w:rPr>
        <w:t>ατ</w:t>
      </w:r>
      <w:r w:rsidR="00814C42">
        <w:rPr>
          <w:rFonts w:ascii="Arial" w:eastAsia="Times New Roman" w:hAnsi="Arial" w:cs="Arial"/>
        </w:rPr>
        <w:t>. στο τρίμηνο</w:t>
      </w:r>
      <w:r w:rsidR="00814C42" w:rsidRPr="00814C42">
        <w:rPr>
          <w:rFonts w:ascii="Arial" w:eastAsia="Times New Roman" w:hAnsi="Arial" w:cs="Arial"/>
        </w:rPr>
        <w:t xml:space="preserve">, </w:t>
      </w:r>
      <w:r w:rsidR="00814C42">
        <w:rPr>
          <w:rFonts w:ascii="Arial" w:eastAsia="Times New Roman" w:hAnsi="Arial" w:cs="Arial"/>
        </w:rPr>
        <w:t>σε σύγκριση με</w:t>
      </w:r>
      <w:r w:rsidR="00814C42" w:rsidRPr="00814C42">
        <w:rPr>
          <w:rFonts w:ascii="Arial" w:eastAsia="Times New Roman" w:hAnsi="Arial" w:cs="Arial"/>
        </w:rPr>
        <w:t xml:space="preserve"> </w:t>
      </w:r>
      <w:r w:rsidR="005A3B24" w:rsidRPr="00814C42">
        <w:rPr>
          <w:rFonts w:ascii="Arial" w:eastAsia="Times New Roman" w:hAnsi="Arial" w:cs="Arial"/>
        </w:rPr>
        <w:t>€</w:t>
      </w:r>
      <w:r w:rsidR="00814C42" w:rsidRPr="00814C42">
        <w:rPr>
          <w:rFonts w:ascii="Arial" w:eastAsia="Times New Roman" w:hAnsi="Arial" w:cs="Arial"/>
        </w:rPr>
        <w:t xml:space="preserve">162,3 εκατ. το Α’ τρίμηνο του 2025, </w:t>
      </w:r>
      <w:r w:rsidR="005B42CF">
        <w:rPr>
          <w:rFonts w:ascii="Arial" w:eastAsia="Times New Roman" w:hAnsi="Arial" w:cs="Arial"/>
        </w:rPr>
        <w:t>λόγω</w:t>
      </w:r>
      <w:r w:rsidR="005B42CF" w:rsidRPr="00814C42">
        <w:rPr>
          <w:rFonts w:ascii="Arial" w:eastAsia="Times New Roman" w:hAnsi="Arial" w:cs="Arial"/>
        </w:rPr>
        <w:t xml:space="preserve"> </w:t>
      </w:r>
      <w:r w:rsidR="00814C42" w:rsidRPr="00814C42">
        <w:rPr>
          <w:rFonts w:ascii="Arial" w:eastAsia="Times New Roman" w:hAnsi="Arial" w:cs="Arial"/>
        </w:rPr>
        <w:t>μια</w:t>
      </w:r>
      <w:r w:rsidR="005B42CF">
        <w:rPr>
          <w:rFonts w:ascii="Arial" w:eastAsia="Times New Roman" w:hAnsi="Arial" w:cs="Arial"/>
        </w:rPr>
        <w:t>ς</w:t>
      </w:r>
      <w:r w:rsidR="00814C42" w:rsidRPr="00814C42">
        <w:rPr>
          <w:rFonts w:ascii="Arial" w:eastAsia="Times New Roman" w:hAnsi="Arial" w:cs="Arial"/>
        </w:rPr>
        <w:t xml:space="preserve"> εφάπαξ επιστροφή</w:t>
      </w:r>
      <w:r w:rsidR="005B42CF">
        <w:rPr>
          <w:rFonts w:ascii="Arial" w:eastAsia="Times New Roman" w:hAnsi="Arial" w:cs="Arial"/>
        </w:rPr>
        <w:t>ς</w:t>
      </w:r>
      <w:r w:rsidR="00814C42" w:rsidRPr="00814C42">
        <w:rPr>
          <w:rFonts w:ascii="Arial" w:eastAsia="Times New Roman" w:hAnsi="Arial" w:cs="Arial"/>
        </w:rPr>
        <w:t xml:space="preserve"> φόρου ύψους </w:t>
      </w:r>
      <w:r w:rsidR="005B42CF" w:rsidRPr="00814C42">
        <w:rPr>
          <w:rFonts w:ascii="Arial" w:eastAsia="Times New Roman" w:hAnsi="Arial" w:cs="Arial"/>
        </w:rPr>
        <w:t>€</w:t>
      </w:r>
      <w:r w:rsidR="00814C42" w:rsidRPr="00814C42">
        <w:rPr>
          <w:rFonts w:ascii="Arial" w:eastAsia="Times New Roman" w:hAnsi="Arial" w:cs="Arial"/>
        </w:rPr>
        <w:t xml:space="preserve">10,5 εκατ. στο Α’ τρίμηνο του 2025, που σχετιζόταν με παρακρατούμενο φόρο επί μερισμάτων </w:t>
      </w:r>
      <w:r w:rsidR="00AE64E2" w:rsidRPr="00CF4C3C">
        <w:rPr>
          <w:rFonts w:ascii="Arial" w:eastAsia="Times New Roman" w:hAnsi="Arial" w:cs="Arial"/>
        </w:rPr>
        <w:t>θυγατρικής</w:t>
      </w:r>
      <w:r w:rsidR="00CF4C3C">
        <w:rPr>
          <w:rFonts w:ascii="Arial" w:eastAsia="Times New Roman" w:hAnsi="Arial" w:cs="Arial"/>
        </w:rPr>
        <w:t xml:space="preserve"> </w:t>
      </w:r>
      <w:r w:rsidR="00814C42" w:rsidRPr="00CF4C3C">
        <w:rPr>
          <w:rFonts w:ascii="Arial" w:eastAsia="Times New Roman" w:hAnsi="Arial" w:cs="Arial"/>
        </w:rPr>
        <w:t>εξωτερικού</w:t>
      </w:r>
      <w:r w:rsidR="00814C42" w:rsidRPr="00814C42">
        <w:rPr>
          <w:rFonts w:ascii="Arial" w:eastAsia="Times New Roman" w:hAnsi="Arial" w:cs="Arial"/>
        </w:rPr>
        <w:t xml:space="preserve"> από το 2019.</w:t>
      </w:r>
      <w:r w:rsidR="005A3B24">
        <w:rPr>
          <w:rFonts w:ascii="Arial" w:eastAsia="Times New Roman" w:hAnsi="Arial" w:cs="Arial"/>
        </w:rPr>
        <w:t xml:space="preserve"> </w:t>
      </w:r>
    </w:p>
    <w:p w14:paraId="6C148FA6" w14:textId="5A3091B2" w:rsidR="009E285A" w:rsidRDefault="009E285A" w:rsidP="00BE0AD5">
      <w:pPr>
        <w:spacing w:before="120" w:line="280" w:lineRule="exact"/>
        <w:jc w:val="both"/>
        <w:rPr>
          <w:rFonts w:ascii="Arial" w:eastAsia="Times New Roman" w:hAnsi="Arial" w:cs="Arial"/>
        </w:rPr>
      </w:pPr>
      <w:r w:rsidRPr="00D60C86">
        <w:rPr>
          <w:rFonts w:ascii="Arial" w:hAnsi="Arial" w:cs="Arial"/>
          <w:b/>
          <w:bCs/>
        </w:rPr>
        <w:t>Οι επενδύσεις σε πάγια περιουσιακά στοιχεία</w:t>
      </w:r>
      <w:r w:rsidRPr="00D60C86">
        <w:rPr>
          <w:rFonts w:ascii="Arial" w:hAnsi="Arial" w:cs="Arial"/>
        </w:rPr>
        <w:t xml:space="preserve"> </w:t>
      </w:r>
      <w:r w:rsidR="006E2F4F">
        <w:rPr>
          <w:rFonts w:ascii="Arial" w:eastAsia="Times New Roman" w:hAnsi="Arial" w:cs="Arial"/>
        </w:rPr>
        <w:t>διαμορφώθηκαν</w:t>
      </w:r>
      <w:r w:rsidR="006E2F4F" w:rsidRPr="00D60C86">
        <w:rPr>
          <w:rFonts w:ascii="Arial" w:eastAsia="Times New Roman" w:hAnsi="Arial" w:cs="Arial"/>
        </w:rPr>
        <w:t xml:space="preserve"> </w:t>
      </w:r>
      <w:r w:rsidRPr="00D256E2">
        <w:rPr>
          <w:rFonts w:ascii="Arial" w:eastAsia="Times New Roman" w:hAnsi="Arial" w:cs="Arial"/>
        </w:rPr>
        <w:t>σε €</w:t>
      </w:r>
      <w:r w:rsidR="00394879" w:rsidRPr="00D256E2">
        <w:rPr>
          <w:rFonts w:ascii="Arial" w:eastAsia="Times New Roman" w:hAnsi="Arial" w:cs="Arial"/>
        </w:rPr>
        <w:t>1</w:t>
      </w:r>
      <w:r w:rsidR="007149B6">
        <w:rPr>
          <w:rFonts w:ascii="Arial" w:eastAsia="Times New Roman" w:hAnsi="Arial" w:cs="Arial"/>
        </w:rPr>
        <w:t>08,5</w:t>
      </w:r>
      <w:r w:rsidRPr="00D256E2">
        <w:rPr>
          <w:rFonts w:ascii="Arial" w:eastAsia="Times New Roman" w:hAnsi="Arial" w:cs="Arial"/>
        </w:rPr>
        <w:t xml:space="preserve"> εκατ.</w:t>
      </w:r>
      <w:r w:rsidR="00702AF3" w:rsidRPr="00D256E2">
        <w:rPr>
          <w:rFonts w:ascii="Arial" w:eastAsia="Times New Roman" w:hAnsi="Arial" w:cs="Arial"/>
        </w:rPr>
        <w:t xml:space="preserve"> στο </w:t>
      </w:r>
      <w:r w:rsidR="007149B6">
        <w:rPr>
          <w:rFonts w:ascii="Arial" w:eastAsia="Times New Roman" w:hAnsi="Arial" w:cs="Arial"/>
        </w:rPr>
        <w:t>Α</w:t>
      </w:r>
      <w:r w:rsidR="00702AF3" w:rsidRPr="00D256E2">
        <w:rPr>
          <w:rFonts w:ascii="Arial" w:eastAsia="Times New Roman" w:hAnsi="Arial" w:cs="Arial"/>
        </w:rPr>
        <w:t>’ τρίμηνο</w:t>
      </w:r>
      <w:r w:rsidR="001E0EDE" w:rsidRPr="00D256E2">
        <w:rPr>
          <w:rFonts w:ascii="Arial" w:eastAsia="Times New Roman" w:hAnsi="Arial" w:cs="Arial"/>
        </w:rPr>
        <w:t xml:space="preserve"> του</w:t>
      </w:r>
      <w:r w:rsidR="00702AF3" w:rsidRPr="00D256E2">
        <w:rPr>
          <w:rFonts w:ascii="Arial" w:eastAsia="Times New Roman" w:hAnsi="Arial" w:cs="Arial"/>
        </w:rPr>
        <w:t xml:space="preserve"> 202</w:t>
      </w:r>
      <w:r w:rsidR="007149B6">
        <w:rPr>
          <w:rFonts w:ascii="Arial" w:eastAsia="Times New Roman" w:hAnsi="Arial" w:cs="Arial"/>
        </w:rPr>
        <w:t>6</w:t>
      </w:r>
      <w:r w:rsidR="004C776B">
        <w:rPr>
          <w:rFonts w:ascii="Arial" w:eastAsia="Times New Roman" w:hAnsi="Arial" w:cs="Arial"/>
        </w:rPr>
        <w:t xml:space="preserve"> μειωμένες κατά 7,6%</w:t>
      </w:r>
      <w:r w:rsidR="00854EED">
        <w:rPr>
          <w:rFonts w:ascii="Arial" w:eastAsia="Times New Roman" w:hAnsi="Arial" w:cs="Arial"/>
        </w:rPr>
        <w:t xml:space="preserve"> σε</w:t>
      </w:r>
      <w:r w:rsidR="00854EED" w:rsidRPr="00854EED">
        <w:rPr>
          <w:rFonts w:ascii="Arial" w:eastAsia="Times New Roman" w:hAnsi="Arial" w:cs="Arial"/>
        </w:rPr>
        <w:t xml:space="preserve"> </w:t>
      </w:r>
      <w:r w:rsidR="00854EED">
        <w:rPr>
          <w:rFonts w:ascii="Arial" w:eastAsia="Times New Roman" w:hAnsi="Arial" w:cs="Arial"/>
        </w:rPr>
        <w:t xml:space="preserve">σύγκριση </w:t>
      </w:r>
      <w:r w:rsidR="00854EED" w:rsidRPr="00814C42">
        <w:rPr>
          <w:rFonts w:ascii="Arial" w:eastAsia="Times New Roman" w:hAnsi="Arial" w:cs="Arial"/>
        </w:rPr>
        <w:t>το Α’ τρίμηνο του 2025</w:t>
      </w:r>
      <w:r w:rsidR="00854EED">
        <w:rPr>
          <w:rFonts w:ascii="Arial" w:eastAsia="Times New Roman" w:hAnsi="Arial" w:cs="Arial"/>
        </w:rPr>
        <w:t xml:space="preserve">. </w:t>
      </w:r>
      <w:r w:rsidR="00A97B9D" w:rsidRPr="00A97B9D">
        <w:rPr>
          <w:rFonts w:ascii="Arial" w:eastAsia="Times New Roman" w:hAnsi="Arial" w:cs="Arial"/>
        </w:rPr>
        <w:t xml:space="preserve">Η μείωση οφείλεται κυρίως σε χαμηλότερες </w:t>
      </w:r>
      <w:r w:rsidR="00A97B9D">
        <w:rPr>
          <w:rFonts w:ascii="Arial" w:eastAsia="Times New Roman" w:hAnsi="Arial" w:cs="Arial"/>
        </w:rPr>
        <w:t>επενδύσεις</w:t>
      </w:r>
      <w:r w:rsidR="00A97B9D" w:rsidRPr="00A97B9D">
        <w:rPr>
          <w:rFonts w:ascii="Arial" w:eastAsia="Times New Roman" w:hAnsi="Arial" w:cs="Arial"/>
        </w:rPr>
        <w:t xml:space="preserve"> για τηλεοπτικό περιεχόμενο, ενώ παράλληλα η Εταιρεία συνεχίζει να επεκτείνει το δίκτυο FTTH — καλύπτοντας πλέον πάνω από 2,1 εκατομμύρια νοικοκυριά — καθώς και </w:t>
      </w:r>
      <w:r w:rsidR="00760EB3">
        <w:rPr>
          <w:rFonts w:ascii="Arial" w:eastAsia="Times New Roman" w:hAnsi="Arial" w:cs="Arial"/>
        </w:rPr>
        <w:t>να αναπτύσσει</w:t>
      </w:r>
      <w:r w:rsidR="00A97B9D" w:rsidRPr="00A97B9D">
        <w:rPr>
          <w:rFonts w:ascii="Arial" w:eastAsia="Times New Roman" w:hAnsi="Arial" w:cs="Arial"/>
        </w:rPr>
        <w:t xml:space="preserve"> </w:t>
      </w:r>
      <w:r w:rsidR="00760EB3">
        <w:rPr>
          <w:rFonts w:ascii="Arial" w:eastAsia="Times New Roman" w:hAnsi="Arial" w:cs="Arial"/>
        </w:rPr>
        <w:t>το δίκτυο</w:t>
      </w:r>
      <w:r w:rsidR="00760EB3" w:rsidRPr="00A97B9D">
        <w:rPr>
          <w:rFonts w:ascii="Arial" w:eastAsia="Times New Roman" w:hAnsi="Arial" w:cs="Arial"/>
        </w:rPr>
        <w:t xml:space="preserve"> </w:t>
      </w:r>
      <w:r w:rsidR="00A97B9D" w:rsidRPr="00A97B9D">
        <w:rPr>
          <w:rFonts w:ascii="Arial" w:eastAsia="Times New Roman" w:hAnsi="Arial" w:cs="Arial"/>
        </w:rPr>
        <w:t xml:space="preserve">5G Stand Alone (SA), </w:t>
      </w:r>
      <w:r w:rsidR="00A97B9D" w:rsidRPr="008B056F">
        <w:rPr>
          <w:rFonts w:ascii="Arial" w:eastAsia="Times New Roman" w:hAnsi="Arial" w:cs="Arial"/>
        </w:rPr>
        <w:t xml:space="preserve">το οποίο υποστηρίζει την υπηρεσία </w:t>
      </w:r>
      <w:r w:rsidR="009C37A3">
        <w:rPr>
          <w:rFonts w:ascii="Arial" w:eastAsia="Times New Roman" w:hAnsi="Arial" w:cs="Arial"/>
        </w:rPr>
        <w:t>5</w:t>
      </w:r>
      <w:r w:rsidR="009C37A3">
        <w:rPr>
          <w:rFonts w:ascii="Arial" w:eastAsia="Times New Roman" w:hAnsi="Arial" w:cs="Arial"/>
          <w:lang w:val="en-US"/>
        </w:rPr>
        <w:t>G</w:t>
      </w:r>
      <w:r w:rsidR="009C37A3" w:rsidRPr="009C37A3">
        <w:rPr>
          <w:rFonts w:ascii="Arial" w:eastAsia="Times New Roman" w:hAnsi="Arial" w:cs="Arial"/>
        </w:rPr>
        <w:t xml:space="preserve"> </w:t>
      </w:r>
      <w:r w:rsidR="009C37A3">
        <w:rPr>
          <w:rFonts w:ascii="Arial" w:eastAsia="Times New Roman" w:hAnsi="Arial" w:cs="Arial"/>
          <w:lang w:val="en-US"/>
        </w:rPr>
        <w:t>Wifi</w:t>
      </w:r>
      <w:r w:rsidR="009C37A3" w:rsidRPr="009C37A3">
        <w:rPr>
          <w:rFonts w:ascii="Arial" w:eastAsia="Times New Roman" w:hAnsi="Arial" w:cs="Arial"/>
        </w:rPr>
        <w:t xml:space="preserve"> (</w:t>
      </w:r>
      <w:r w:rsidR="00A97B9D" w:rsidRPr="008B056F">
        <w:rPr>
          <w:rFonts w:ascii="Arial" w:eastAsia="Times New Roman" w:hAnsi="Arial" w:cs="Arial"/>
        </w:rPr>
        <w:t>FWA).</w:t>
      </w:r>
    </w:p>
    <w:p w14:paraId="7B86893C" w14:textId="18A652B1" w:rsidR="00D44AB2" w:rsidRDefault="00AA23E0" w:rsidP="00D44AB2">
      <w:pPr>
        <w:spacing w:before="120" w:line="280" w:lineRule="exact"/>
        <w:jc w:val="both"/>
        <w:rPr>
          <w:rFonts w:ascii="Arial" w:hAnsi="Arial" w:cs="Arial"/>
        </w:rPr>
      </w:pPr>
      <w:r w:rsidRPr="009C4233">
        <w:rPr>
          <w:rFonts w:ascii="Arial" w:hAnsi="Arial" w:cs="Arial"/>
          <w:b/>
          <w:bCs/>
        </w:rPr>
        <w:t>Οι</w:t>
      </w:r>
      <w:r w:rsidR="00224417" w:rsidRPr="009C4233">
        <w:rPr>
          <w:rFonts w:ascii="Arial" w:hAnsi="Arial" w:cs="Arial"/>
          <w:b/>
          <w:bCs/>
        </w:rPr>
        <w:t xml:space="preserve"> ελεύθερες ταμειακές ροές μετά από μισθώσεις</w:t>
      </w:r>
      <w:r w:rsidR="00C85D60" w:rsidRPr="009C4233">
        <w:rPr>
          <w:rFonts w:ascii="Arial" w:hAnsi="Arial" w:cs="Arial"/>
        </w:rPr>
        <w:t xml:space="preserve"> </w:t>
      </w:r>
      <w:r w:rsidR="00C85D60" w:rsidRPr="00AE767E">
        <w:rPr>
          <w:rFonts w:ascii="Arial" w:eastAsia="Times New Roman" w:hAnsi="Arial" w:cs="Arial"/>
        </w:rPr>
        <w:t>διαμορφώθηκαν</w:t>
      </w:r>
      <w:r w:rsidR="00F20096" w:rsidRPr="00AE767E">
        <w:rPr>
          <w:rFonts w:ascii="Arial" w:eastAsia="Times New Roman" w:hAnsi="Arial" w:cs="Arial"/>
        </w:rPr>
        <w:t xml:space="preserve"> </w:t>
      </w:r>
      <w:r w:rsidR="00146585" w:rsidRPr="00AE767E">
        <w:rPr>
          <w:rFonts w:ascii="Arial" w:eastAsia="Times New Roman" w:hAnsi="Arial" w:cs="Arial"/>
        </w:rPr>
        <w:t xml:space="preserve">σε </w:t>
      </w:r>
      <w:r w:rsidR="00C85D60" w:rsidRPr="00AE767E">
        <w:rPr>
          <w:rFonts w:ascii="Arial" w:eastAsia="Times New Roman" w:hAnsi="Arial" w:cs="Arial"/>
        </w:rPr>
        <w:t>€</w:t>
      </w:r>
      <w:r w:rsidR="00D44AB2">
        <w:rPr>
          <w:rFonts w:ascii="Arial" w:eastAsia="Times New Roman" w:hAnsi="Arial" w:cs="Arial"/>
        </w:rPr>
        <w:t>60,4</w:t>
      </w:r>
      <w:r w:rsidR="00146585" w:rsidRPr="00AE767E">
        <w:rPr>
          <w:rFonts w:ascii="Arial" w:eastAsia="Times New Roman" w:hAnsi="Arial" w:cs="Arial"/>
        </w:rPr>
        <w:t xml:space="preserve"> εκατ.</w:t>
      </w:r>
      <w:r w:rsidR="00087FCE" w:rsidRPr="00AE767E">
        <w:rPr>
          <w:rFonts w:ascii="Arial" w:eastAsia="Times New Roman" w:hAnsi="Arial" w:cs="Arial"/>
        </w:rPr>
        <w:t xml:space="preserve"> στο </w:t>
      </w:r>
      <w:r w:rsidR="00D44AB2">
        <w:rPr>
          <w:rFonts w:ascii="Arial" w:eastAsia="Times New Roman" w:hAnsi="Arial" w:cs="Arial"/>
        </w:rPr>
        <w:t>Α</w:t>
      </w:r>
      <w:r w:rsidR="00087FCE" w:rsidRPr="00AE767E">
        <w:rPr>
          <w:rFonts w:ascii="Arial" w:eastAsia="Times New Roman" w:hAnsi="Arial" w:cs="Arial"/>
        </w:rPr>
        <w:t xml:space="preserve">’ τρίμηνο </w:t>
      </w:r>
      <w:r w:rsidR="001E0EDE" w:rsidRPr="00AE767E">
        <w:rPr>
          <w:rFonts w:ascii="Arial" w:eastAsia="Times New Roman" w:hAnsi="Arial" w:cs="Arial"/>
        </w:rPr>
        <w:t xml:space="preserve">του </w:t>
      </w:r>
      <w:r w:rsidR="00087FCE" w:rsidRPr="00AE767E">
        <w:rPr>
          <w:rFonts w:ascii="Arial" w:eastAsia="Times New Roman" w:hAnsi="Arial" w:cs="Arial"/>
        </w:rPr>
        <w:t>202</w:t>
      </w:r>
      <w:r w:rsidR="00D44AB2">
        <w:rPr>
          <w:rFonts w:ascii="Arial" w:eastAsia="Times New Roman" w:hAnsi="Arial" w:cs="Arial"/>
        </w:rPr>
        <w:t>6</w:t>
      </w:r>
      <w:r w:rsidR="00F93590" w:rsidRPr="00AE767E">
        <w:rPr>
          <w:rFonts w:ascii="Arial" w:eastAsia="Times New Roman" w:hAnsi="Arial" w:cs="Arial"/>
        </w:rPr>
        <w:t>,</w:t>
      </w:r>
      <w:r w:rsidR="00FB0B6C" w:rsidRPr="00AE767E">
        <w:rPr>
          <w:rFonts w:ascii="Arial" w:eastAsia="Times New Roman" w:hAnsi="Arial" w:cs="Arial"/>
        </w:rPr>
        <w:t xml:space="preserve"> σε σύγκριση με €</w:t>
      </w:r>
      <w:r w:rsidR="00D44AB2">
        <w:rPr>
          <w:rFonts w:ascii="Arial" w:eastAsia="Times New Roman" w:hAnsi="Arial" w:cs="Arial"/>
        </w:rPr>
        <w:t>106,2</w:t>
      </w:r>
      <w:r w:rsidR="00FB0B6C" w:rsidRPr="00AE767E">
        <w:rPr>
          <w:rFonts w:ascii="Arial" w:eastAsia="Times New Roman" w:hAnsi="Arial" w:cs="Arial"/>
        </w:rPr>
        <w:t xml:space="preserve"> εκατ. </w:t>
      </w:r>
      <w:r w:rsidR="00382148">
        <w:rPr>
          <w:rFonts w:ascii="Arial" w:eastAsia="Times New Roman" w:hAnsi="Arial" w:cs="Arial"/>
        </w:rPr>
        <w:t>την αντίστοιχη περίοδο πέρυσι</w:t>
      </w:r>
      <w:r w:rsidR="00D44AB2">
        <w:rPr>
          <w:rFonts w:ascii="Arial" w:eastAsia="Times New Roman" w:hAnsi="Arial" w:cs="Arial"/>
        </w:rPr>
        <w:t xml:space="preserve">. </w:t>
      </w:r>
      <w:r w:rsidR="00D44AB2" w:rsidRPr="00D44AB2">
        <w:rPr>
          <w:rFonts w:ascii="Arial" w:hAnsi="Arial" w:cs="Arial"/>
        </w:rPr>
        <w:t xml:space="preserve">Η μείωση οφείλεται κυρίως σε υψηλότερες πληρωμές φόρου εισοδήματος </w:t>
      </w:r>
      <w:r w:rsidR="00173F6C">
        <w:rPr>
          <w:rFonts w:ascii="Arial" w:hAnsi="Arial" w:cs="Arial"/>
        </w:rPr>
        <w:t xml:space="preserve">στις αρχές του 2026, </w:t>
      </w:r>
      <w:r w:rsidR="00D44AB2" w:rsidRPr="00D44AB2">
        <w:rPr>
          <w:rFonts w:ascii="Arial" w:hAnsi="Arial" w:cs="Arial"/>
        </w:rPr>
        <w:t>που σχετίζονται με δόσεις προηγούμενων ετών</w:t>
      </w:r>
      <w:r w:rsidR="0017766B">
        <w:rPr>
          <w:rFonts w:ascii="Arial" w:hAnsi="Arial" w:cs="Arial"/>
        </w:rPr>
        <w:t xml:space="preserve">. </w:t>
      </w:r>
      <w:r w:rsidR="00723A5F">
        <w:rPr>
          <w:rFonts w:ascii="Arial" w:hAnsi="Arial" w:cs="Arial"/>
        </w:rPr>
        <w:t>Οι ε</w:t>
      </w:r>
      <w:r w:rsidR="00723A5F" w:rsidRPr="00A46046">
        <w:rPr>
          <w:rFonts w:ascii="Arial" w:hAnsi="Arial" w:cs="Arial"/>
        </w:rPr>
        <w:t>λεύθερες ταμειακές ροές αναμένεται να ομαλοποιηθούν κατά τα επόμενα τρίμηνα και η Εταιρεία παραμένει σε τροχιά επίτευξης των στόχων της για το σύνολο του έτους.</w:t>
      </w:r>
    </w:p>
    <w:p w14:paraId="2DDE1042" w14:textId="3F6A7349" w:rsidR="00321210" w:rsidRDefault="009E285A" w:rsidP="00812B43">
      <w:pPr>
        <w:spacing w:before="120" w:line="280" w:lineRule="exact"/>
        <w:jc w:val="both"/>
        <w:rPr>
          <w:rFonts w:ascii="Arial" w:hAnsi="Arial" w:cs="Arial"/>
        </w:rPr>
      </w:pPr>
      <w:r w:rsidRPr="00FD0D6F">
        <w:rPr>
          <w:rFonts w:ascii="Arial" w:hAnsi="Arial" w:cs="Arial"/>
          <w:b/>
          <w:bCs/>
        </w:rPr>
        <w:t>Ο καθαρός δανεισμός του Ομίλου</w:t>
      </w:r>
      <w:r w:rsidRPr="00FD0D6F">
        <w:rPr>
          <w:rFonts w:ascii="Arial" w:hAnsi="Arial" w:cs="Arial"/>
        </w:rPr>
        <w:t xml:space="preserve"> </w:t>
      </w:r>
      <w:r w:rsidR="00755F6C" w:rsidRPr="00FD0D6F">
        <w:rPr>
          <w:rFonts w:ascii="Arial" w:hAnsi="Arial" w:cs="Arial"/>
        </w:rPr>
        <w:t xml:space="preserve">την </w:t>
      </w:r>
      <w:r w:rsidR="00C36CA5" w:rsidRPr="00FD0D6F">
        <w:rPr>
          <w:rFonts w:ascii="Arial" w:hAnsi="Arial" w:cs="Arial"/>
        </w:rPr>
        <w:t>3</w:t>
      </w:r>
      <w:r w:rsidR="00216E23">
        <w:rPr>
          <w:rFonts w:ascii="Arial" w:hAnsi="Arial" w:cs="Arial"/>
        </w:rPr>
        <w:t>1</w:t>
      </w:r>
      <w:r w:rsidR="00E14231">
        <w:rPr>
          <w:rFonts w:ascii="Arial" w:hAnsi="Arial" w:cs="Arial"/>
          <w:vertAlign w:val="superscript"/>
        </w:rPr>
        <w:t xml:space="preserve">η </w:t>
      </w:r>
      <w:r w:rsidRPr="00FD0D6F">
        <w:rPr>
          <w:rFonts w:ascii="Arial" w:hAnsi="Arial" w:cs="Arial"/>
        </w:rPr>
        <w:t xml:space="preserve"> </w:t>
      </w:r>
      <w:r w:rsidR="00DD324F">
        <w:rPr>
          <w:rFonts w:ascii="Arial" w:hAnsi="Arial" w:cs="Arial"/>
        </w:rPr>
        <w:t xml:space="preserve">Μαρτίου </w:t>
      </w:r>
      <w:r w:rsidRPr="00FD0D6F">
        <w:rPr>
          <w:rFonts w:ascii="Arial" w:hAnsi="Arial" w:cs="Arial"/>
        </w:rPr>
        <w:t>202</w:t>
      </w:r>
      <w:r w:rsidR="00DD324F">
        <w:rPr>
          <w:rFonts w:ascii="Arial" w:hAnsi="Arial" w:cs="Arial"/>
        </w:rPr>
        <w:t>6</w:t>
      </w:r>
      <w:r w:rsidRPr="00FD0D6F">
        <w:rPr>
          <w:rFonts w:ascii="Arial" w:hAnsi="Arial" w:cs="Arial"/>
        </w:rPr>
        <w:t xml:space="preserve"> διαμορφώθηκε σε €</w:t>
      </w:r>
      <w:r w:rsidR="00216E23">
        <w:rPr>
          <w:rFonts w:ascii="Arial" w:hAnsi="Arial" w:cs="Arial"/>
        </w:rPr>
        <w:t>5</w:t>
      </w:r>
      <w:r w:rsidR="00DD324F">
        <w:rPr>
          <w:rFonts w:ascii="Arial" w:hAnsi="Arial" w:cs="Arial"/>
        </w:rPr>
        <w:t>19,1</w:t>
      </w:r>
      <w:r w:rsidRPr="00FD0D6F">
        <w:rPr>
          <w:rFonts w:ascii="Arial" w:hAnsi="Arial" w:cs="Arial"/>
        </w:rPr>
        <w:t xml:space="preserve"> εκατ. </w:t>
      </w:r>
      <w:r w:rsidR="001B4D66" w:rsidRPr="00FD0D6F">
        <w:rPr>
          <w:rFonts w:ascii="Arial" w:hAnsi="Arial" w:cs="Arial"/>
        </w:rPr>
        <w:t>και</w:t>
      </w:r>
      <w:r w:rsidRPr="00FD0D6F">
        <w:rPr>
          <w:rFonts w:ascii="Arial" w:hAnsi="Arial" w:cs="Arial"/>
        </w:rPr>
        <w:t xml:space="preserve"> αντιστοιχεί σε 0,</w:t>
      </w:r>
      <w:r w:rsidR="00216E23">
        <w:rPr>
          <w:rFonts w:ascii="Arial" w:hAnsi="Arial" w:cs="Arial"/>
        </w:rPr>
        <w:t>4</w:t>
      </w:r>
      <w:r w:rsidRPr="00FD0D6F">
        <w:rPr>
          <w:rFonts w:ascii="Arial" w:hAnsi="Arial" w:cs="Arial"/>
        </w:rPr>
        <w:t xml:space="preserve"> φορές</w:t>
      </w:r>
      <w:r w:rsidR="00D0498F" w:rsidRPr="00FD0D6F">
        <w:rPr>
          <w:rFonts w:ascii="Arial" w:hAnsi="Arial" w:cs="Arial"/>
        </w:rPr>
        <w:t xml:space="preserve"> το</w:t>
      </w:r>
      <w:r w:rsidRPr="00FD0D6F">
        <w:rPr>
          <w:rFonts w:ascii="Arial" w:hAnsi="Arial" w:cs="Arial"/>
        </w:rPr>
        <w:t xml:space="preserve"> προσαρμοσμένο ΕΒΙ</w:t>
      </w:r>
      <w:r w:rsidRPr="00321210">
        <w:rPr>
          <w:rFonts w:ascii="Arial" w:hAnsi="Arial" w:cs="Arial"/>
        </w:rPr>
        <w:t>TDA</w:t>
      </w:r>
      <w:r w:rsidRPr="00FD0D6F">
        <w:rPr>
          <w:rFonts w:ascii="Arial" w:hAnsi="Arial" w:cs="Arial"/>
        </w:rPr>
        <w:t xml:space="preserve"> (</w:t>
      </w:r>
      <w:r w:rsidRPr="00321210">
        <w:rPr>
          <w:rFonts w:ascii="Arial" w:hAnsi="Arial" w:cs="Arial"/>
        </w:rPr>
        <w:t>AL</w:t>
      </w:r>
      <w:r w:rsidRPr="00FD0D6F">
        <w:rPr>
          <w:rFonts w:ascii="Arial" w:hAnsi="Arial" w:cs="Arial"/>
        </w:rPr>
        <w:t>)</w:t>
      </w:r>
      <w:r w:rsidR="004B082A" w:rsidRPr="00FD0D6F">
        <w:rPr>
          <w:rFonts w:ascii="Arial" w:hAnsi="Arial" w:cs="Arial"/>
        </w:rPr>
        <w:t xml:space="preserve"> σε δωδεκάμηνη βάση</w:t>
      </w:r>
      <w:r w:rsidR="00321210">
        <w:rPr>
          <w:rFonts w:ascii="Arial" w:hAnsi="Arial" w:cs="Arial"/>
        </w:rPr>
        <w:t xml:space="preserve">, ενώ </w:t>
      </w:r>
      <w:r w:rsidR="00321210" w:rsidRPr="00321210">
        <w:rPr>
          <w:rFonts w:ascii="Arial" w:hAnsi="Arial" w:cs="Arial"/>
        </w:rPr>
        <w:t xml:space="preserve">το </w:t>
      </w:r>
      <w:r w:rsidR="00F52E8A" w:rsidRPr="00321210">
        <w:rPr>
          <w:rFonts w:ascii="Arial" w:hAnsi="Arial" w:cs="Arial"/>
        </w:rPr>
        <w:t>Ομ</w:t>
      </w:r>
      <w:r w:rsidR="00144DD1">
        <w:rPr>
          <w:rFonts w:ascii="Arial" w:hAnsi="Arial" w:cs="Arial"/>
        </w:rPr>
        <w:t>όλογο</w:t>
      </w:r>
      <w:r w:rsidR="00F52E8A" w:rsidRPr="00321210">
        <w:rPr>
          <w:rFonts w:ascii="Arial" w:hAnsi="Arial" w:cs="Arial"/>
        </w:rPr>
        <w:t xml:space="preserve"> </w:t>
      </w:r>
      <w:r w:rsidR="00321210" w:rsidRPr="00321210">
        <w:rPr>
          <w:rFonts w:ascii="Arial" w:hAnsi="Arial" w:cs="Arial"/>
        </w:rPr>
        <w:t xml:space="preserve">ύψους </w:t>
      </w:r>
      <w:r w:rsidRPr="00321210">
        <w:rPr>
          <w:rFonts w:ascii="Arial" w:hAnsi="Arial" w:cs="Arial"/>
        </w:rPr>
        <w:t>€500 εκατ.</w:t>
      </w:r>
      <w:r w:rsidR="00F52E8A" w:rsidRPr="00321210">
        <w:rPr>
          <w:rFonts w:ascii="Arial" w:hAnsi="Arial" w:cs="Arial"/>
        </w:rPr>
        <w:t>,</w:t>
      </w:r>
      <w:r w:rsidRPr="00321210">
        <w:rPr>
          <w:rFonts w:ascii="Arial" w:hAnsi="Arial" w:cs="Arial"/>
        </w:rPr>
        <w:t xml:space="preserve"> </w:t>
      </w:r>
      <w:r w:rsidR="00D504BC">
        <w:rPr>
          <w:rFonts w:ascii="Arial" w:hAnsi="Arial" w:cs="Arial"/>
        </w:rPr>
        <w:t xml:space="preserve">στα </w:t>
      </w:r>
      <w:r w:rsidRPr="00321210">
        <w:rPr>
          <w:rFonts w:ascii="Arial" w:hAnsi="Arial" w:cs="Arial"/>
        </w:rPr>
        <w:t>0</w:t>
      </w:r>
      <w:r w:rsidR="00F52E8A" w:rsidRPr="00321210">
        <w:rPr>
          <w:rFonts w:ascii="Arial" w:hAnsi="Arial" w:cs="Arial"/>
        </w:rPr>
        <w:t>,</w:t>
      </w:r>
      <w:r w:rsidRPr="00321210">
        <w:rPr>
          <w:rFonts w:ascii="Arial" w:hAnsi="Arial" w:cs="Arial"/>
        </w:rPr>
        <w:t>875%</w:t>
      </w:r>
      <w:r w:rsidR="0054222B">
        <w:rPr>
          <w:rFonts w:ascii="Arial" w:hAnsi="Arial" w:cs="Arial"/>
        </w:rPr>
        <w:t>,</w:t>
      </w:r>
      <w:r w:rsidR="00546B67" w:rsidRPr="00321210">
        <w:rPr>
          <w:rFonts w:ascii="Arial" w:hAnsi="Arial" w:cs="Arial"/>
        </w:rPr>
        <w:t xml:space="preserve"> </w:t>
      </w:r>
      <w:r w:rsidR="00321210" w:rsidRPr="00321210">
        <w:rPr>
          <w:rFonts w:ascii="Arial" w:hAnsi="Arial" w:cs="Arial"/>
        </w:rPr>
        <w:t>λήγει τον Σεπτέμβριο του 2026</w:t>
      </w:r>
      <w:r w:rsidR="00321210">
        <w:rPr>
          <w:rFonts w:ascii="Arial" w:hAnsi="Arial" w:cs="Arial"/>
        </w:rPr>
        <w:t>.</w:t>
      </w:r>
      <w:r w:rsidR="00D1156C">
        <w:rPr>
          <w:rFonts w:ascii="Arial" w:hAnsi="Arial" w:cs="Arial"/>
        </w:rPr>
        <w:t xml:space="preserve"> </w:t>
      </w:r>
      <w:r w:rsidR="00D1156C" w:rsidRPr="00CC039F">
        <w:rPr>
          <w:rFonts w:ascii="Arial" w:hAnsi="Arial" w:cs="Arial"/>
        </w:rPr>
        <w:t xml:space="preserve">Η Εταιρεία </w:t>
      </w:r>
      <w:r w:rsidR="0020333B" w:rsidRPr="00CC039F">
        <w:rPr>
          <w:rFonts w:ascii="Arial" w:hAnsi="Arial" w:cs="Arial"/>
        </w:rPr>
        <w:t>εξετάζει τις επιλογές</w:t>
      </w:r>
      <w:r w:rsidR="00D1156C" w:rsidRPr="00CC039F">
        <w:rPr>
          <w:rFonts w:ascii="Arial" w:hAnsi="Arial" w:cs="Arial"/>
        </w:rPr>
        <w:t xml:space="preserve"> </w:t>
      </w:r>
      <w:r w:rsidR="0020333B" w:rsidRPr="00CC039F">
        <w:rPr>
          <w:rFonts w:ascii="Arial" w:hAnsi="Arial" w:cs="Arial"/>
        </w:rPr>
        <w:t>αναχρηματ</w:t>
      </w:r>
      <w:r w:rsidR="00CC039F">
        <w:rPr>
          <w:rFonts w:ascii="Arial" w:hAnsi="Arial" w:cs="Arial"/>
        </w:rPr>
        <w:t>ο</w:t>
      </w:r>
      <w:r w:rsidR="0020333B" w:rsidRPr="00CC039F">
        <w:rPr>
          <w:rFonts w:ascii="Arial" w:hAnsi="Arial" w:cs="Arial"/>
        </w:rPr>
        <w:t>δότησης</w:t>
      </w:r>
      <w:r w:rsidR="00D1156C" w:rsidRPr="00CC039F">
        <w:rPr>
          <w:rFonts w:ascii="Arial" w:hAnsi="Arial" w:cs="Arial"/>
        </w:rPr>
        <w:t xml:space="preserve"> </w:t>
      </w:r>
      <w:r w:rsidR="0020333B" w:rsidRPr="00CC039F">
        <w:rPr>
          <w:rFonts w:ascii="Arial" w:hAnsi="Arial" w:cs="Arial"/>
        </w:rPr>
        <w:t>για</w:t>
      </w:r>
      <w:r w:rsidR="00D1156C" w:rsidRPr="00CC039F">
        <w:rPr>
          <w:rFonts w:ascii="Arial" w:hAnsi="Arial" w:cs="Arial"/>
        </w:rPr>
        <w:t xml:space="preserve"> το εν λόγω ομόλογο.</w:t>
      </w:r>
    </w:p>
    <w:p w14:paraId="414A01A3" w14:textId="77777777" w:rsidR="00F83356" w:rsidRDefault="00F83356" w:rsidP="00812B43">
      <w:pPr>
        <w:spacing w:before="120" w:line="280" w:lineRule="exact"/>
        <w:jc w:val="both"/>
        <w:rPr>
          <w:rFonts w:ascii="Arial" w:hAnsi="Arial" w:cs="Arial"/>
        </w:rPr>
      </w:pPr>
    </w:p>
    <w:p w14:paraId="1CE451EE" w14:textId="1245ABB2" w:rsidR="00BE7035" w:rsidRPr="00FB20CB" w:rsidRDefault="00BE7035" w:rsidP="005376F7">
      <w:pPr>
        <w:pStyle w:val="Tittle2"/>
        <w:rPr>
          <w:rFonts w:cs="Arial"/>
          <w:b w:val="0"/>
          <w:szCs w:val="24"/>
          <w:lang w:val="el-GR"/>
        </w:rPr>
      </w:pPr>
      <w:r w:rsidRPr="00FB20CB">
        <w:rPr>
          <w:rFonts w:cs="Arial"/>
          <w:lang w:val="el-GR"/>
        </w:rPr>
        <w:lastRenderedPageBreak/>
        <w:t>ΛΕΙΤΟΥΡΓΙΚΑ ΣΤΟΙΧΕΙΑ</w:t>
      </w:r>
      <w:r w:rsidR="004217AA">
        <w:rPr>
          <w:rStyle w:val="FootnoteReference"/>
          <w:rFonts w:cs="Arial"/>
          <w:lang w:val="el-GR"/>
        </w:rPr>
        <w:footnoteReference w:id="3"/>
      </w:r>
    </w:p>
    <w:p w14:paraId="1EABB0BB" w14:textId="2CAD21C7" w:rsidR="00475EE9" w:rsidRPr="00FB20CB" w:rsidRDefault="00475EE9" w:rsidP="00475EE9">
      <w:pPr>
        <w:pStyle w:val="Caption"/>
        <w:keepNext/>
        <w:rPr>
          <w:rFonts w:cs="Arial"/>
          <w:lang w:val="el-GR"/>
        </w:rPr>
      </w:pPr>
      <w:r w:rsidRPr="00FB20CB">
        <w:rPr>
          <w:rFonts w:cs="Arial"/>
          <w:lang w:val="el-GR"/>
        </w:rPr>
        <w:t xml:space="preserve">Λειτουργικά Στοιχεία Σταθερής </w:t>
      </w:r>
    </w:p>
    <w:tbl>
      <w:tblPr>
        <w:tblStyle w:val="TableGrid"/>
        <w:tblW w:w="10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437"/>
        <w:gridCol w:w="1437"/>
        <w:gridCol w:w="1436"/>
        <w:gridCol w:w="1437"/>
        <w:gridCol w:w="1436"/>
      </w:tblGrid>
      <w:tr w:rsidR="00732467" w:rsidRPr="001745EE" w14:paraId="78EB08C8" w14:textId="77777777" w:rsidTr="006B2DDB">
        <w:trPr>
          <w:trHeight w:val="462"/>
        </w:trPr>
        <w:tc>
          <w:tcPr>
            <w:tcW w:w="33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C2ADD39" w14:textId="043C90D4" w:rsidR="00732467" w:rsidRPr="00DB0DFE" w:rsidRDefault="00732467" w:rsidP="00732467">
            <w:pPr>
              <w:pStyle w:val="ColorfulList-Accent11"/>
              <w:tabs>
                <w:tab w:val="left" w:pos="0"/>
                <w:tab w:val="left" w:pos="284"/>
              </w:tabs>
              <w:ind w:left="0" w:right="-90"/>
              <w:rPr>
                <w:rFonts w:ascii="Arial" w:hAnsi="Arial" w:cs="Arial"/>
                <w:i/>
              </w:rPr>
            </w:pPr>
            <w:r w:rsidRPr="004B27A4">
              <w:rPr>
                <w:rFonts w:ascii="Arial" w:hAnsi="Arial" w:cs="Arial"/>
                <w:b/>
              </w:rPr>
              <w:t>Λειτουργικά Στοιχεία Σταθερής</w:t>
            </w:r>
          </w:p>
        </w:tc>
        <w:tc>
          <w:tcPr>
            <w:tcW w:w="1437"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4375CFA3" w14:textId="080D399E" w:rsidR="00732467" w:rsidRPr="00AE086D" w:rsidRDefault="00732467" w:rsidP="00732467">
            <w:pPr>
              <w:pStyle w:val="ColorfulList-Accent11"/>
              <w:tabs>
                <w:tab w:val="left" w:pos="0"/>
                <w:tab w:val="left" w:pos="284"/>
              </w:tabs>
              <w:ind w:left="0" w:right="-90"/>
              <w:jc w:val="center"/>
              <w:rPr>
                <w:rFonts w:ascii="Arial" w:hAnsi="Arial" w:cs="Arial"/>
                <w:i/>
                <w:lang w:val="el-GR"/>
              </w:rPr>
            </w:pPr>
            <w:r w:rsidRPr="00DB0DFE">
              <w:rPr>
                <w:rFonts w:ascii="Arial" w:hAnsi="Arial" w:cs="Arial"/>
                <w:b/>
              </w:rPr>
              <w:t>Q</w:t>
            </w:r>
            <w:r w:rsidR="00AE086D">
              <w:rPr>
                <w:rFonts w:ascii="Arial" w:hAnsi="Arial" w:cs="Arial"/>
                <w:b/>
                <w:lang w:val="el-GR"/>
              </w:rPr>
              <w:t>1</w:t>
            </w:r>
            <w:r w:rsidRPr="00DB0DFE">
              <w:rPr>
                <w:rFonts w:ascii="Arial" w:hAnsi="Arial" w:cs="Arial"/>
                <w:b/>
              </w:rPr>
              <w:t>'2</w:t>
            </w:r>
            <w:r w:rsidR="00AE086D">
              <w:rPr>
                <w:rFonts w:ascii="Arial" w:hAnsi="Arial" w:cs="Arial"/>
                <w:b/>
                <w:lang w:val="el-GR"/>
              </w:rPr>
              <w:t>6</w:t>
            </w:r>
          </w:p>
        </w:tc>
        <w:tc>
          <w:tcPr>
            <w:tcW w:w="1437"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19AB8AD7" w14:textId="2B7C48F1" w:rsidR="00732467" w:rsidRPr="00AE086D" w:rsidRDefault="00732467" w:rsidP="00732467">
            <w:pPr>
              <w:pStyle w:val="ColorfulList-Accent11"/>
              <w:tabs>
                <w:tab w:val="left" w:pos="0"/>
                <w:tab w:val="left" w:pos="284"/>
              </w:tabs>
              <w:ind w:left="0" w:right="-90"/>
              <w:jc w:val="center"/>
              <w:rPr>
                <w:rFonts w:ascii="Arial" w:hAnsi="Arial" w:cs="Arial"/>
                <w:i/>
                <w:lang w:val="el-GR"/>
              </w:rPr>
            </w:pPr>
            <w:r w:rsidRPr="00DB0DFE">
              <w:rPr>
                <w:rFonts w:ascii="Arial" w:hAnsi="Arial" w:cs="Arial"/>
                <w:b/>
              </w:rPr>
              <w:t>Q</w:t>
            </w:r>
            <w:r w:rsidR="00AE086D">
              <w:rPr>
                <w:rFonts w:ascii="Arial" w:hAnsi="Arial" w:cs="Arial"/>
                <w:b/>
                <w:lang w:val="el-GR"/>
              </w:rPr>
              <w:t>1</w:t>
            </w:r>
            <w:r w:rsidRPr="00DB0DFE">
              <w:rPr>
                <w:rFonts w:ascii="Arial" w:hAnsi="Arial" w:cs="Arial"/>
                <w:b/>
              </w:rPr>
              <w:t>'2</w:t>
            </w:r>
            <w:r w:rsidR="00AE086D">
              <w:rPr>
                <w:rFonts w:ascii="Arial" w:hAnsi="Arial" w:cs="Arial"/>
                <w:b/>
                <w:lang w:val="el-GR"/>
              </w:rPr>
              <w:t>5</w:t>
            </w:r>
          </w:p>
        </w:tc>
        <w:tc>
          <w:tcPr>
            <w:tcW w:w="143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4FA1FC9" w14:textId="77777777" w:rsidR="00732467" w:rsidRDefault="00732467" w:rsidP="00732467">
            <w:pPr>
              <w:pStyle w:val="ColorfulList-Accent11"/>
              <w:tabs>
                <w:tab w:val="left" w:pos="0"/>
                <w:tab w:val="left" w:pos="284"/>
              </w:tabs>
              <w:ind w:left="0" w:right="-90"/>
              <w:jc w:val="center"/>
              <w:rPr>
                <w:rFonts w:ascii="Arial" w:hAnsi="Arial" w:cs="Arial"/>
                <w:b/>
              </w:rPr>
            </w:pPr>
            <w:r>
              <w:rPr>
                <w:rFonts w:ascii="Arial" w:hAnsi="Arial" w:cs="Arial"/>
                <w:b/>
              </w:rPr>
              <w:t>y-o-y</w:t>
            </w:r>
          </w:p>
        </w:tc>
        <w:tc>
          <w:tcPr>
            <w:tcW w:w="1437"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6AA25F5F" w14:textId="77777777" w:rsidR="00732467" w:rsidRDefault="00732467" w:rsidP="00732467">
            <w:pPr>
              <w:pStyle w:val="ColorfulList-Accent11"/>
              <w:tabs>
                <w:tab w:val="left" w:pos="0"/>
                <w:tab w:val="left" w:pos="284"/>
              </w:tabs>
              <w:ind w:left="0" w:right="-90"/>
              <w:jc w:val="center"/>
              <w:rPr>
                <w:rFonts w:ascii="Arial" w:hAnsi="Arial" w:cs="Arial"/>
                <w:b/>
              </w:rPr>
            </w:pPr>
            <w:r>
              <w:rPr>
                <w:rFonts w:ascii="Arial" w:hAnsi="Arial" w:cs="Arial"/>
                <w:b/>
              </w:rPr>
              <w:t>y-o-y</w:t>
            </w:r>
          </w:p>
        </w:tc>
        <w:tc>
          <w:tcPr>
            <w:tcW w:w="1436"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7231BB4A" w14:textId="1D04A4F9" w:rsidR="00732467" w:rsidRPr="00CA2B0F" w:rsidRDefault="00CA2B0F" w:rsidP="00732467">
            <w:pPr>
              <w:pStyle w:val="ColorfulList-Accent11"/>
              <w:tabs>
                <w:tab w:val="left" w:pos="0"/>
                <w:tab w:val="left" w:pos="284"/>
              </w:tabs>
              <w:ind w:left="0" w:right="-90"/>
              <w:jc w:val="center"/>
              <w:rPr>
                <w:rFonts w:ascii="Arial" w:hAnsi="Arial" w:cs="Arial"/>
                <w:b/>
                <w:lang w:val="el-GR"/>
              </w:rPr>
            </w:pPr>
            <w:r>
              <w:rPr>
                <w:rFonts w:ascii="Arial" w:hAnsi="Arial" w:cs="Arial"/>
                <w:b/>
                <w:lang w:val="el-GR"/>
              </w:rPr>
              <w:t>Καθαρές προσθήκες</w:t>
            </w:r>
          </w:p>
        </w:tc>
      </w:tr>
      <w:tr w:rsidR="00AE086D" w:rsidRPr="001745EE" w14:paraId="3568A2E0" w14:textId="77777777" w:rsidTr="006B2DDB">
        <w:trPr>
          <w:trHeight w:val="362"/>
        </w:trPr>
        <w:tc>
          <w:tcPr>
            <w:tcW w:w="3396"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6BBCC715" w14:textId="5FA4F94E" w:rsidR="00AE086D" w:rsidRPr="00A42382" w:rsidRDefault="00AE086D" w:rsidP="00AE086D">
            <w:pPr>
              <w:pStyle w:val="ColorfulList-Accent11"/>
              <w:tabs>
                <w:tab w:val="left" w:pos="0"/>
                <w:tab w:val="left" w:pos="284"/>
              </w:tabs>
              <w:ind w:left="0" w:right="-90"/>
              <w:rPr>
                <w:rFonts w:ascii="Arial" w:hAnsi="Arial" w:cs="Arial"/>
                <w:b/>
                <w:i/>
              </w:rPr>
            </w:pPr>
            <w:r w:rsidRPr="004F331D">
              <w:rPr>
                <w:rFonts w:ascii="Arial" w:hAnsi="Arial" w:cs="Arial"/>
                <w:b/>
              </w:rPr>
              <w:t>Συνδέσεις Σταθερής</w:t>
            </w:r>
          </w:p>
        </w:tc>
        <w:tc>
          <w:tcPr>
            <w:tcW w:w="1437"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442E5628" w14:textId="193886E3" w:rsidR="00AE086D" w:rsidRPr="008F36CA" w:rsidRDefault="00AE086D" w:rsidP="00AE086D">
            <w:pPr>
              <w:pStyle w:val="ColorfulList-Accent11"/>
              <w:tabs>
                <w:tab w:val="left" w:pos="0"/>
                <w:tab w:val="left" w:pos="284"/>
              </w:tabs>
              <w:ind w:left="0" w:right="-90"/>
              <w:jc w:val="center"/>
              <w:rPr>
                <w:rFonts w:ascii="Arial" w:hAnsi="Arial" w:cs="Arial"/>
                <w:b/>
                <w:i/>
                <w:color w:val="C00000"/>
              </w:rPr>
            </w:pPr>
            <w:r w:rsidRPr="00485904">
              <w:rPr>
                <w:rFonts w:ascii="Arial" w:hAnsi="Arial" w:cs="Arial"/>
                <w:b/>
                <w:bCs/>
                <w:color w:val="000000"/>
              </w:rPr>
              <w:t>2</w:t>
            </w:r>
            <w:r w:rsidR="00C92EBF">
              <w:rPr>
                <w:rFonts w:ascii="Arial" w:hAnsi="Arial" w:cs="Arial"/>
                <w:b/>
                <w:bCs/>
                <w:color w:val="000000"/>
              </w:rPr>
              <w:t>.</w:t>
            </w:r>
            <w:r w:rsidRPr="00485904">
              <w:rPr>
                <w:rFonts w:ascii="Arial" w:hAnsi="Arial" w:cs="Arial"/>
                <w:b/>
                <w:bCs/>
                <w:color w:val="000000"/>
              </w:rPr>
              <w:t>577</w:t>
            </w:r>
            <w:r w:rsidR="00C92EBF">
              <w:rPr>
                <w:rFonts w:ascii="Arial" w:hAnsi="Arial" w:cs="Arial"/>
                <w:b/>
                <w:bCs/>
                <w:color w:val="000000"/>
              </w:rPr>
              <w:t>.</w:t>
            </w:r>
            <w:r w:rsidRPr="00485904">
              <w:rPr>
                <w:rFonts w:ascii="Arial" w:hAnsi="Arial" w:cs="Arial"/>
                <w:b/>
                <w:bCs/>
                <w:color w:val="000000"/>
              </w:rPr>
              <w:t>224</w:t>
            </w:r>
          </w:p>
        </w:tc>
        <w:tc>
          <w:tcPr>
            <w:tcW w:w="1437" w:type="dxa"/>
            <w:tcBorders>
              <w:top w:val="single" w:sz="2" w:space="0" w:color="BFBFBF" w:themeColor="background1" w:themeShade="BF"/>
            </w:tcBorders>
            <w:shd w:val="clear" w:color="auto" w:fill="FFFFFF" w:themeFill="background1"/>
            <w:vAlign w:val="center"/>
          </w:tcPr>
          <w:p w14:paraId="40AC1B2A" w14:textId="40BB3798" w:rsidR="00AE086D" w:rsidRPr="008F36CA" w:rsidRDefault="00AE086D" w:rsidP="00AE086D">
            <w:pPr>
              <w:pStyle w:val="ColorfulList-Accent11"/>
              <w:tabs>
                <w:tab w:val="left" w:pos="0"/>
                <w:tab w:val="left" w:pos="284"/>
              </w:tabs>
              <w:ind w:left="0" w:right="-90"/>
              <w:jc w:val="center"/>
              <w:rPr>
                <w:rFonts w:ascii="Arial" w:hAnsi="Arial" w:cs="Arial"/>
                <w:b/>
                <w:i/>
                <w:color w:val="C00000"/>
              </w:rPr>
            </w:pPr>
            <w:r w:rsidRPr="00485904">
              <w:rPr>
                <w:rFonts w:ascii="Arial" w:hAnsi="Arial" w:cs="Arial"/>
                <w:b/>
                <w:bCs/>
                <w:color w:val="000000"/>
              </w:rPr>
              <w:t>2</w:t>
            </w:r>
            <w:r w:rsidR="00C92EBF">
              <w:rPr>
                <w:rFonts w:ascii="Arial" w:hAnsi="Arial" w:cs="Arial"/>
                <w:b/>
                <w:bCs/>
                <w:color w:val="000000"/>
              </w:rPr>
              <w:t>.</w:t>
            </w:r>
            <w:r w:rsidRPr="00485904">
              <w:rPr>
                <w:rFonts w:ascii="Arial" w:hAnsi="Arial" w:cs="Arial"/>
                <w:b/>
                <w:bCs/>
                <w:color w:val="000000"/>
              </w:rPr>
              <w:t>602</w:t>
            </w:r>
            <w:r w:rsidR="00C92EBF">
              <w:rPr>
                <w:rFonts w:ascii="Arial" w:hAnsi="Arial" w:cs="Arial"/>
                <w:b/>
                <w:bCs/>
                <w:color w:val="000000"/>
              </w:rPr>
              <w:t>.</w:t>
            </w:r>
            <w:r w:rsidRPr="00485904">
              <w:rPr>
                <w:rFonts w:ascii="Arial" w:hAnsi="Arial" w:cs="Arial"/>
                <w:b/>
                <w:bCs/>
                <w:color w:val="000000"/>
              </w:rPr>
              <w:t>662</w:t>
            </w:r>
          </w:p>
        </w:tc>
        <w:tc>
          <w:tcPr>
            <w:tcW w:w="1436"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259B03E9" w14:textId="1C0B30E4" w:rsidR="00AE086D" w:rsidRPr="008F36CA" w:rsidRDefault="00AE086D" w:rsidP="00AE086D">
            <w:pPr>
              <w:pStyle w:val="ColorfulList-Accent11"/>
              <w:tabs>
                <w:tab w:val="left" w:pos="0"/>
                <w:tab w:val="left" w:pos="284"/>
              </w:tabs>
              <w:ind w:left="0" w:right="-90"/>
              <w:jc w:val="center"/>
              <w:rPr>
                <w:rFonts w:ascii="Arial" w:hAnsi="Arial" w:cs="Arial"/>
                <w:b/>
                <w:bCs/>
                <w:color w:val="C00000"/>
              </w:rPr>
            </w:pPr>
            <w:r w:rsidRPr="00485904">
              <w:rPr>
                <w:rFonts w:ascii="Arial" w:hAnsi="Arial" w:cs="Arial"/>
                <w:b/>
                <w:color w:val="000000"/>
              </w:rPr>
              <w:t>-</w:t>
            </w:r>
            <w:r w:rsidRPr="00485904">
              <w:rPr>
                <w:rFonts w:ascii="Arial" w:hAnsi="Arial" w:cs="Arial"/>
                <w:b/>
                <w:bCs/>
                <w:color w:val="000000"/>
              </w:rPr>
              <w:t>1</w:t>
            </w:r>
            <w:r w:rsidR="00C92EBF">
              <w:rPr>
                <w:rFonts w:ascii="Arial" w:hAnsi="Arial" w:cs="Arial"/>
                <w:b/>
                <w:bCs/>
                <w:color w:val="000000"/>
              </w:rPr>
              <w:t>,</w:t>
            </w:r>
            <w:r w:rsidRPr="00485904">
              <w:rPr>
                <w:rFonts w:ascii="Arial" w:hAnsi="Arial" w:cs="Arial"/>
                <w:b/>
                <w:color w:val="000000"/>
              </w:rPr>
              <w:t>0%</w:t>
            </w:r>
          </w:p>
        </w:tc>
        <w:tc>
          <w:tcPr>
            <w:tcW w:w="1437"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46F1B977" w14:textId="530AE17C" w:rsidR="00AE086D" w:rsidRPr="00B770D7" w:rsidRDefault="00B770D7" w:rsidP="00AE086D">
            <w:pPr>
              <w:pStyle w:val="ColorfulList-Accent11"/>
              <w:tabs>
                <w:tab w:val="left" w:pos="0"/>
                <w:tab w:val="left" w:pos="284"/>
              </w:tabs>
              <w:ind w:left="0" w:right="-90"/>
              <w:jc w:val="center"/>
              <w:rPr>
                <w:rFonts w:ascii="Arial" w:hAnsi="Arial" w:cs="Arial"/>
                <w:b/>
                <w:color w:val="C00000"/>
                <w:lang w:val="el-GR"/>
              </w:rPr>
            </w:pPr>
            <w:r>
              <w:rPr>
                <w:rFonts w:ascii="Arial" w:hAnsi="Arial" w:cs="Arial"/>
                <w:b/>
                <w:bCs/>
                <w:color w:val="000000"/>
                <w:lang w:val="el-GR"/>
              </w:rPr>
              <w:t>(</w:t>
            </w:r>
            <w:r w:rsidR="00AE086D" w:rsidRPr="00485904">
              <w:rPr>
                <w:rFonts w:ascii="Arial" w:hAnsi="Arial" w:cs="Arial"/>
                <w:b/>
                <w:bCs/>
                <w:color w:val="000000"/>
              </w:rPr>
              <w:t>25</w:t>
            </w:r>
            <w:r w:rsidR="00C92EBF">
              <w:rPr>
                <w:rFonts w:ascii="Arial" w:hAnsi="Arial" w:cs="Arial"/>
                <w:b/>
                <w:bCs/>
                <w:color w:val="000000"/>
              </w:rPr>
              <w:t>.</w:t>
            </w:r>
            <w:r w:rsidR="00AE086D" w:rsidRPr="00485904">
              <w:rPr>
                <w:rFonts w:ascii="Arial" w:hAnsi="Arial" w:cs="Arial"/>
                <w:b/>
                <w:bCs/>
                <w:color w:val="000000"/>
              </w:rPr>
              <w:t>438</w:t>
            </w:r>
            <w:r>
              <w:rPr>
                <w:rFonts w:ascii="Arial" w:hAnsi="Arial" w:cs="Arial"/>
                <w:b/>
                <w:bCs/>
                <w:color w:val="000000"/>
                <w:lang w:val="el-GR"/>
              </w:rPr>
              <w:t>)</w:t>
            </w:r>
          </w:p>
        </w:tc>
        <w:tc>
          <w:tcPr>
            <w:tcW w:w="1436" w:type="dxa"/>
            <w:tcBorders>
              <w:top w:val="single" w:sz="2" w:space="0" w:color="BFBFBF" w:themeColor="background1" w:themeShade="BF"/>
            </w:tcBorders>
            <w:shd w:val="clear" w:color="auto" w:fill="FFFFFF" w:themeFill="background1"/>
            <w:vAlign w:val="center"/>
          </w:tcPr>
          <w:p w14:paraId="4264F06F" w14:textId="5FB3F50D" w:rsidR="00AE086D" w:rsidRPr="00B770D7" w:rsidRDefault="00B770D7" w:rsidP="00AE086D">
            <w:pPr>
              <w:pStyle w:val="ColorfulList-Accent11"/>
              <w:tabs>
                <w:tab w:val="left" w:pos="0"/>
                <w:tab w:val="left" w:pos="284"/>
              </w:tabs>
              <w:ind w:left="0" w:right="-90"/>
              <w:jc w:val="center"/>
              <w:rPr>
                <w:rFonts w:ascii="Arial" w:hAnsi="Arial" w:cs="Arial"/>
                <w:b/>
                <w:i/>
                <w:color w:val="C00000"/>
                <w:lang w:val="el-GR"/>
              </w:rPr>
            </w:pPr>
            <w:r>
              <w:rPr>
                <w:rFonts w:ascii="Arial" w:hAnsi="Arial" w:cs="Arial"/>
                <w:b/>
                <w:bCs/>
                <w:i/>
                <w:iCs/>
                <w:color w:val="000000"/>
                <w:lang w:val="el-GR"/>
              </w:rPr>
              <w:t>(</w:t>
            </w:r>
            <w:r w:rsidR="00AE086D" w:rsidRPr="00485904">
              <w:rPr>
                <w:rFonts w:ascii="Arial" w:hAnsi="Arial" w:cs="Arial"/>
                <w:b/>
                <w:bCs/>
                <w:i/>
                <w:iCs/>
                <w:color w:val="000000"/>
              </w:rPr>
              <w:t>10</w:t>
            </w:r>
            <w:r w:rsidR="00C92EBF">
              <w:rPr>
                <w:rFonts w:ascii="Arial" w:hAnsi="Arial" w:cs="Arial"/>
                <w:b/>
                <w:bCs/>
                <w:i/>
                <w:iCs/>
                <w:color w:val="000000"/>
              </w:rPr>
              <w:t>.</w:t>
            </w:r>
            <w:r w:rsidR="00AE086D" w:rsidRPr="00485904">
              <w:rPr>
                <w:rFonts w:ascii="Arial" w:hAnsi="Arial" w:cs="Arial"/>
                <w:b/>
                <w:bCs/>
                <w:i/>
                <w:iCs/>
                <w:color w:val="000000"/>
              </w:rPr>
              <w:t>790</w:t>
            </w:r>
            <w:r>
              <w:rPr>
                <w:rFonts w:ascii="Arial" w:hAnsi="Arial" w:cs="Arial"/>
                <w:b/>
                <w:bCs/>
                <w:i/>
                <w:iCs/>
                <w:color w:val="000000"/>
                <w:lang w:val="el-GR"/>
              </w:rPr>
              <w:t>)</w:t>
            </w:r>
          </w:p>
        </w:tc>
      </w:tr>
      <w:tr w:rsidR="00AE086D" w:rsidRPr="001745EE" w14:paraId="6A55EA46" w14:textId="77777777" w:rsidTr="006B2DDB">
        <w:trPr>
          <w:trHeight w:val="362"/>
        </w:trPr>
        <w:tc>
          <w:tcPr>
            <w:tcW w:w="3396" w:type="dxa"/>
            <w:tcBorders>
              <w:right w:val="single" w:sz="2" w:space="0" w:color="BFBFBF" w:themeColor="background1" w:themeShade="BF"/>
            </w:tcBorders>
            <w:shd w:val="clear" w:color="auto" w:fill="FFFFFF" w:themeFill="background1"/>
            <w:vAlign w:val="center"/>
          </w:tcPr>
          <w:p w14:paraId="0A3D28F8" w14:textId="7ED9AB75" w:rsidR="00AE086D" w:rsidRPr="00A42382" w:rsidRDefault="00AE086D" w:rsidP="00AE086D">
            <w:pPr>
              <w:pStyle w:val="ColorfulList-Accent11"/>
              <w:tabs>
                <w:tab w:val="left" w:pos="0"/>
                <w:tab w:val="left" w:pos="284"/>
              </w:tabs>
              <w:ind w:left="0" w:right="-90"/>
              <w:rPr>
                <w:rFonts w:ascii="Arial" w:hAnsi="Arial" w:cs="Arial"/>
                <w:b/>
                <w:i/>
              </w:rPr>
            </w:pPr>
            <w:r w:rsidRPr="004F331D">
              <w:rPr>
                <w:rFonts w:ascii="Arial" w:hAnsi="Arial" w:cs="Arial"/>
                <w:b/>
                <w:lang w:val="el-GR"/>
              </w:rPr>
              <w:t>Ευρυζωνικές Συνδέσεις</w:t>
            </w:r>
          </w:p>
        </w:tc>
        <w:tc>
          <w:tcPr>
            <w:tcW w:w="1437" w:type="dxa"/>
            <w:tcBorders>
              <w:left w:val="single" w:sz="2" w:space="0" w:color="BFBFBF" w:themeColor="background1" w:themeShade="BF"/>
            </w:tcBorders>
            <w:shd w:val="clear" w:color="auto" w:fill="FFFFFF" w:themeFill="background1"/>
            <w:vAlign w:val="center"/>
          </w:tcPr>
          <w:p w14:paraId="67597168" w14:textId="5688FB04" w:rsidR="00AE086D" w:rsidRPr="008F36CA" w:rsidRDefault="00AE086D" w:rsidP="00AE086D">
            <w:pPr>
              <w:pStyle w:val="ColorfulList-Accent11"/>
              <w:tabs>
                <w:tab w:val="left" w:pos="0"/>
                <w:tab w:val="left" w:pos="284"/>
              </w:tabs>
              <w:ind w:left="0" w:right="-90"/>
              <w:jc w:val="center"/>
              <w:rPr>
                <w:rFonts w:ascii="Arial" w:hAnsi="Arial" w:cs="Arial"/>
                <w:b/>
                <w:i/>
                <w:color w:val="C00000"/>
              </w:rPr>
            </w:pPr>
            <w:r w:rsidRPr="00485904">
              <w:rPr>
                <w:rFonts w:ascii="Arial" w:hAnsi="Arial" w:cs="Arial"/>
                <w:b/>
                <w:bCs/>
                <w:color w:val="000000"/>
              </w:rPr>
              <w:t>2</w:t>
            </w:r>
            <w:r w:rsidR="00C92EBF">
              <w:rPr>
                <w:rFonts w:ascii="Arial" w:hAnsi="Arial" w:cs="Arial"/>
                <w:b/>
                <w:bCs/>
                <w:color w:val="000000"/>
              </w:rPr>
              <w:t>.</w:t>
            </w:r>
            <w:r w:rsidRPr="00485904">
              <w:rPr>
                <w:rFonts w:ascii="Arial" w:hAnsi="Arial" w:cs="Arial"/>
                <w:b/>
                <w:bCs/>
                <w:color w:val="000000"/>
              </w:rPr>
              <w:t>385</w:t>
            </w:r>
            <w:r w:rsidR="00C92EBF">
              <w:rPr>
                <w:rFonts w:ascii="Arial" w:hAnsi="Arial" w:cs="Arial"/>
                <w:b/>
                <w:bCs/>
                <w:color w:val="000000"/>
              </w:rPr>
              <w:t>.</w:t>
            </w:r>
            <w:r w:rsidRPr="00485904">
              <w:rPr>
                <w:rFonts w:ascii="Arial" w:hAnsi="Arial" w:cs="Arial"/>
                <w:b/>
                <w:bCs/>
                <w:color w:val="000000"/>
              </w:rPr>
              <w:t>262</w:t>
            </w:r>
          </w:p>
        </w:tc>
        <w:tc>
          <w:tcPr>
            <w:tcW w:w="1437" w:type="dxa"/>
            <w:shd w:val="clear" w:color="auto" w:fill="FFFFFF" w:themeFill="background1"/>
            <w:vAlign w:val="center"/>
          </w:tcPr>
          <w:p w14:paraId="6D608F46" w14:textId="1C0CAEF0" w:rsidR="00AE086D" w:rsidRPr="008F36CA" w:rsidRDefault="00AE086D" w:rsidP="00AE086D">
            <w:pPr>
              <w:pStyle w:val="ColorfulList-Accent11"/>
              <w:tabs>
                <w:tab w:val="left" w:pos="0"/>
                <w:tab w:val="left" w:pos="284"/>
              </w:tabs>
              <w:ind w:left="0" w:right="-90"/>
              <w:jc w:val="center"/>
              <w:rPr>
                <w:rFonts w:ascii="Arial" w:hAnsi="Arial" w:cs="Arial"/>
                <w:b/>
                <w:i/>
                <w:color w:val="C00000"/>
              </w:rPr>
            </w:pPr>
            <w:r w:rsidRPr="00485904">
              <w:rPr>
                <w:rFonts w:ascii="Arial" w:hAnsi="Arial" w:cs="Arial"/>
                <w:b/>
                <w:bCs/>
                <w:color w:val="000000"/>
              </w:rPr>
              <w:t>2</w:t>
            </w:r>
            <w:r w:rsidR="00C92EBF">
              <w:rPr>
                <w:rFonts w:ascii="Arial" w:hAnsi="Arial" w:cs="Arial"/>
                <w:b/>
                <w:bCs/>
                <w:color w:val="000000"/>
              </w:rPr>
              <w:t>.</w:t>
            </w:r>
            <w:r w:rsidRPr="00485904">
              <w:rPr>
                <w:rFonts w:ascii="Arial" w:hAnsi="Arial" w:cs="Arial"/>
                <w:b/>
                <w:bCs/>
                <w:color w:val="000000"/>
              </w:rPr>
              <w:t>382</w:t>
            </w:r>
            <w:r w:rsidR="00C92EBF">
              <w:rPr>
                <w:rFonts w:ascii="Arial" w:hAnsi="Arial" w:cs="Arial"/>
                <w:b/>
                <w:bCs/>
                <w:color w:val="000000"/>
              </w:rPr>
              <w:t>.</w:t>
            </w:r>
            <w:r w:rsidRPr="00485904">
              <w:rPr>
                <w:rFonts w:ascii="Arial" w:hAnsi="Arial" w:cs="Arial"/>
                <w:b/>
                <w:bCs/>
                <w:color w:val="000000"/>
              </w:rPr>
              <w:t>334</w:t>
            </w:r>
          </w:p>
        </w:tc>
        <w:tc>
          <w:tcPr>
            <w:tcW w:w="1436" w:type="dxa"/>
            <w:tcBorders>
              <w:right w:val="single" w:sz="2" w:space="0" w:color="BFBFBF" w:themeColor="background1" w:themeShade="BF"/>
            </w:tcBorders>
            <w:shd w:val="clear" w:color="auto" w:fill="FFFFFF" w:themeFill="background1"/>
            <w:vAlign w:val="center"/>
          </w:tcPr>
          <w:p w14:paraId="2C65713C" w14:textId="08208E71" w:rsidR="00AE086D" w:rsidRPr="008F36CA" w:rsidRDefault="00AE086D" w:rsidP="00AE086D">
            <w:pPr>
              <w:pStyle w:val="ColorfulList-Accent11"/>
              <w:tabs>
                <w:tab w:val="left" w:pos="0"/>
                <w:tab w:val="left" w:pos="284"/>
              </w:tabs>
              <w:ind w:left="0" w:right="-90"/>
              <w:jc w:val="center"/>
              <w:rPr>
                <w:rFonts w:ascii="Arial" w:hAnsi="Arial" w:cs="Arial"/>
                <w:b/>
                <w:bCs/>
                <w:color w:val="C00000"/>
              </w:rPr>
            </w:pPr>
            <w:r w:rsidRPr="00485904">
              <w:rPr>
                <w:rFonts w:ascii="Arial" w:hAnsi="Arial" w:cs="Arial"/>
                <w:b/>
                <w:color w:val="000000"/>
              </w:rPr>
              <w:t>+0</w:t>
            </w:r>
            <w:r w:rsidR="00C92EBF">
              <w:rPr>
                <w:rFonts w:ascii="Arial" w:hAnsi="Arial" w:cs="Arial"/>
                <w:b/>
                <w:color w:val="000000"/>
              </w:rPr>
              <w:t>,</w:t>
            </w:r>
            <w:r w:rsidRPr="00485904">
              <w:rPr>
                <w:rFonts w:ascii="Arial" w:hAnsi="Arial" w:cs="Arial"/>
                <w:b/>
                <w:bCs/>
                <w:color w:val="000000"/>
              </w:rPr>
              <w:t>1</w:t>
            </w:r>
            <w:r w:rsidRPr="00485904">
              <w:rPr>
                <w:rFonts w:ascii="Arial" w:hAnsi="Arial" w:cs="Arial"/>
                <w:b/>
                <w:color w:val="000000"/>
              </w:rPr>
              <w:t>%</w:t>
            </w:r>
          </w:p>
        </w:tc>
        <w:tc>
          <w:tcPr>
            <w:tcW w:w="1437" w:type="dxa"/>
            <w:tcBorders>
              <w:left w:val="single" w:sz="2" w:space="0" w:color="BFBFBF" w:themeColor="background1" w:themeShade="BF"/>
            </w:tcBorders>
            <w:shd w:val="clear" w:color="auto" w:fill="FFFFFF" w:themeFill="background1"/>
            <w:vAlign w:val="center"/>
          </w:tcPr>
          <w:p w14:paraId="4AB5C790" w14:textId="6D999BF7" w:rsidR="00AE086D" w:rsidRPr="008F36CA" w:rsidRDefault="00AE086D" w:rsidP="00AE086D">
            <w:pPr>
              <w:pStyle w:val="ColorfulList-Accent11"/>
              <w:tabs>
                <w:tab w:val="left" w:pos="0"/>
                <w:tab w:val="left" w:pos="284"/>
              </w:tabs>
              <w:ind w:left="0" w:right="-90"/>
              <w:jc w:val="center"/>
              <w:rPr>
                <w:rFonts w:ascii="Arial" w:hAnsi="Arial" w:cs="Arial"/>
                <w:b/>
                <w:bCs/>
                <w:color w:val="C00000"/>
              </w:rPr>
            </w:pPr>
            <w:r w:rsidRPr="00485904">
              <w:rPr>
                <w:rFonts w:ascii="Arial" w:hAnsi="Arial" w:cs="Arial"/>
                <w:b/>
                <w:bCs/>
                <w:color w:val="000000"/>
              </w:rPr>
              <w:t>2</w:t>
            </w:r>
            <w:r w:rsidR="00C92EBF">
              <w:rPr>
                <w:rFonts w:ascii="Arial" w:hAnsi="Arial" w:cs="Arial"/>
                <w:b/>
                <w:bCs/>
                <w:color w:val="000000"/>
              </w:rPr>
              <w:t>.</w:t>
            </w:r>
            <w:r w:rsidRPr="00485904">
              <w:rPr>
                <w:rFonts w:ascii="Arial" w:hAnsi="Arial" w:cs="Arial"/>
                <w:b/>
                <w:bCs/>
                <w:color w:val="000000"/>
              </w:rPr>
              <w:t>928</w:t>
            </w:r>
          </w:p>
        </w:tc>
        <w:tc>
          <w:tcPr>
            <w:tcW w:w="1436" w:type="dxa"/>
            <w:shd w:val="clear" w:color="auto" w:fill="FFFFFF" w:themeFill="background1"/>
            <w:vAlign w:val="center"/>
          </w:tcPr>
          <w:p w14:paraId="3AB5C511" w14:textId="2BB481AC" w:rsidR="00AE086D" w:rsidRPr="00B770D7" w:rsidRDefault="00B770D7" w:rsidP="00AE086D">
            <w:pPr>
              <w:pStyle w:val="ColorfulList-Accent11"/>
              <w:tabs>
                <w:tab w:val="left" w:pos="0"/>
                <w:tab w:val="left" w:pos="284"/>
              </w:tabs>
              <w:ind w:left="0" w:right="-90"/>
              <w:jc w:val="center"/>
              <w:rPr>
                <w:rFonts w:ascii="Arial" w:hAnsi="Arial" w:cs="Arial"/>
                <w:b/>
                <w:i/>
                <w:color w:val="C00000"/>
                <w:lang w:val="el-GR"/>
              </w:rPr>
            </w:pPr>
            <w:r>
              <w:rPr>
                <w:rFonts w:ascii="Arial" w:hAnsi="Arial" w:cs="Arial"/>
                <w:b/>
                <w:bCs/>
                <w:i/>
                <w:iCs/>
                <w:color w:val="000000"/>
                <w:lang w:val="el-GR"/>
              </w:rPr>
              <w:t>(</w:t>
            </w:r>
            <w:r w:rsidR="00AE086D" w:rsidRPr="00485904">
              <w:rPr>
                <w:rFonts w:ascii="Arial" w:hAnsi="Arial" w:cs="Arial"/>
                <w:b/>
                <w:bCs/>
                <w:i/>
                <w:iCs/>
                <w:color w:val="000000"/>
              </w:rPr>
              <w:t>3</w:t>
            </w:r>
            <w:r w:rsidR="00C92EBF">
              <w:rPr>
                <w:rFonts w:ascii="Arial" w:hAnsi="Arial" w:cs="Arial"/>
                <w:b/>
                <w:bCs/>
                <w:i/>
                <w:iCs/>
                <w:color w:val="000000"/>
              </w:rPr>
              <w:t>.</w:t>
            </w:r>
            <w:r w:rsidR="00AE086D" w:rsidRPr="00485904">
              <w:rPr>
                <w:rFonts w:ascii="Arial" w:hAnsi="Arial" w:cs="Arial"/>
                <w:b/>
                <w:bCs/>
                <w:i/>
                <w:iCs/>
                <w:color w:val="000000"/>
              </w:rPr>
              <w:t>325</w:t>
            </w:r>
            <w:r>
              <w:rPr>
                <w:rFonts w:ascii="Arial" w:hAnsi="Arial" w:cs="Arial"/>
                <w:b/>
                <w:bCs/>
                <w:i/>
                <w:iCs/>
                <w:color w:val="000000"/>
                <w:lang w:val="el-GR"/>
              </w:rPr>
              <w:t>)</w:t>
            </w:r>
          </w:p>
        </w:tc>
      </w:tr>
      <w:tr w:rsidR="00AE086D" w:rsidRPr="001745EE" w14:paraId="71BBFF60" w14:textId="77777777" w:rsidTr="006B2DDB">
        <w:trPr>
          <w:trHeight w:val="362"/>
        </w:trPr>
        <w:tc>
          <w:tcPr>
            <w:tcW w:w="3396" w:type="dxa"/>
            <w:tcBorders>
              <w:right w:val="single" w:sz="2" w:space="0" w:color="BFBFBF" w:themeColor="background1" w:themeShade="BF"/>
            </w:tcBorders>
            <w:shd w:val="clear" w:color="auto" w:fill="FFFFFF" w:themeFill="background1"/>
            <w:vAlign w:val="center"/>
          </w:tcPr>
          <w:p w14:paraId="7D097C1B" w14:textId="6E620D74" w:rsidR="00AE086D" w:rsidRPr="002B72B8" w:rsidRDefault="00CB14AC" w:rsidP="00AE086D">
            <w:pPr>
              <w:pStyle w:val="ColorfulList-Accent11"/>
              <w:tabs>
                <w:tab w:val="left" w:pos="0"/>
                <w:tab w:val="left" w:pos="284"/>
              </w:tabs>
              <w:ind w:left="0" w:right="-90"/>
              <w:jc w:val="right"/>
              <w:rPr>
                <w:rFonts w:ascii="Arial" w:hAnsi="Arial" w:cs="Arial"/>
                <w:bCs/>
                <w:i/>
                <w:lang w:val="el-GR"/>
              </w:rPr>
            </w:pPr>
            <w:r>
              <w:rPr>
                <w:rFonts w:ascii="Arial" w:hAnsi="Arial" w:cs="Arial"/>
                <w:bCs/>
                <w:i/>
              </w:rPr>
              <w:t>FTTH</w:t>
            </w:r>
          </w:p>
        </w:tc>
        <w:tc>
          <w:tcPr>
            <w:tcW w:w="1437" w:type="dxa"/>
            <w:tcBorders>
              <w:left w:val="single" w:sz="2" w:space="0" w:color="BFBFBF" w:themeColor="background1" w:themeShade="BF"/>
            </w:tcBorders>
            <w:shd w:val="clear" w:color="auto" w:fill="FFFFFF" w:themeFill="background1"/>
            <w:vAlign w:val="center"/>
          </w:tcPr>
          <w:p w14:paraId="6FEB2199" w14:textId="2B81B50E" w:rsidR="00AE086D" w:rsidRPr="008F36CA" w:rsidRDefault="00AE086D" w:rsidP="00AE086D">
            <w:pPr>
              <w:pStyle w:val="ColorfulList-Accent11"/>
              <w:tabs>
                <w:tab w:val="left" w:pos="0"/>
                <w:tab w:val="left" w:pos="284"/>
              </w:tabs>
              <w:ind w:left="0" w:right="-90"/>
              <w:jc w:val="center"/>
              <w:rPr>
                <w:rFonts w:ascii="Arial" w:hAnsi="Arial" w:cs="Arial"/>
                <w:i/>
                <w:color w:val="C00000"/>
              </w:rPr>
            </w:pPr>
            <w:r w:rsidRPr="00475810">
              <w:rPr>
                <w:rFonts w:ascii="Arial" w:hAnsi="Arial" w:cs="Arial"/>
                <w:i/>
                <w:iCs/>
                <w:color w:val="000000"/>
                <w:sz w:val="18"/>
                <w:szCs w:val="18"/>
              </w:rPr>
              <w:t>625</w:t>
            </w:r>
            <w:r w:rsidR="00C92EBF">
              <w:rPr>
                <w:rFonts w:ascii="Arial" w:hAnsi="Arial" w:cs="Arial"/>
                <w:i/>
                <w:iCs/>
                <w:color w:val="000000"/>
                <w:sz w:val="18"/>
                <w:szCs w:val="18"/>
              </w:rPr>
              <w:t>.</w:t>
            </w:r>
            <w:r w:rsidRPr="00475810">
              <w:rPr>
                <w:rFonts w:ascii="Arial" w:hAnsi="Arial" w:cs="Arial"/>
                <w:i/>
                <w:iCs/>
                <w:color w:val="000000"/>
                <w:sz w:val="18"/>
                <w:szCs w:val="18"/>
              </w:rPr>
              <w:t>234</w:t>
            </w:r>
          </w:p>
        </w:tc>
        <w:tc>
          <w:tcPr>
            <w:tcW w:w="1437" w:type="dxa"/>
            <w:shd w:val="clear" w:color="auto" w:fill="FFFFFF" w:themeFill="background1"/>
            <w:vAlign w:val="center"/>
          </w:tcPr>
          <w:p w14:paraId="2A74EC49" w14:textId="1B02275A" w:rsidR="00AE086D" w:rsidRPr="008F36CA" w:rsidRDefault="00AE086D" w:rsidP="00AE086D">
            <w:pPr>
              <w:pStyle w:val="ColorfulList-Accent11"/>
              <w:tabs>
                <w:tab w:val="left" w:pos="0"/>
                <w:tab w:val="left" w:pos="284"/>
              </w:tabs>
              <w:ind w:left="0" w:right="-90"/>
              <w:jc w:val="center"/>
              <w:rPr>
                <w:rFonts w:ascii="Arial" w:hAnsi="Arial" w:cs="Arial"/>
                <w:i/>
                <w:color w:val="C00000"/>
              </w:rPr>
            </w:pPr>
            <w:r w:rsidRPr="00475810">
              <w:rPr>
                <w:rFonts w:ascii="Arial" w:hAnsi="Arial" w:cs="Arial"/>
                <w:i/>
                <w:iCs/>
                <w:color w:val="000000"/>
                <w:sz w:val="18"/>
                <w:szCs w:val="18"/>
              </w:rPr>
              <w:t>430</w:t>
            </w:r>
            <w:r w:rsidR="00C92EBF">
              <w:rPr>
                <w:rFonts w:ascii="Arial" w:hAnsi="Arial" w:cs="Arial"/>
                <w:i/>
                <w:iCs/>
                <w:color w:val="000000"/>
                <w:sz w:val="18"/>
                <w:szCs w:val="18"/>
              </w:rPr>
              <w:t>.</w:t>
            </w:r>
            <w:r w:rsidRPr="00475810">
              <w:rPr>
                <w:rFonts w:ascii="Arial" w:hAnsi="Arial" w:cs="Arial"/>
                <w:i/>
                <w:iCs/>
                <w:color w:val="000000"/>
                <w:sz w:val="18"/>
                <w:szCs w:val="18"/>
              </w:rPr>
              <w:t>406</w:t>
            </w:r>
          </w:p>
        </w:tc>
        <w:tc>
          <w:tcPr>
            <w:tcW w:w="1436" w:type="dxa"/>
            <w:tcBorders>
              <w:right w:val="single" w:sz="2" w:space="0" w:color="BFBFBF" w:themeColor="background1" w:themeShade="BF"/>
            </w:tcBorders>
            <w:shd w:val="clear" w:color="auto" w:fill="FFFFFF" w:themeFill="background1"/>
            <w:vAlign w:val="center"/>
          </w:tcPr>
          <w:p w14:paraId="6299702E" w14:textId="378FE221"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sidRPr="00475810">
              <w:rPr>
                <w:rFonts w:ascii="Arial" w:hAnsi="Arial" w:cs="Arial"/>
                <w:i/>
                <w:color w:val="000000"/>
                <w:sz w:val="18"/>
                <w:szCs w:val="18"/>
              </w:rPr>
              <w:t>+</w:t>
            </w:r>
            <w:r w:rsidRPr="00475810">
              <w:rPr>
                <w:rFonts w:ascii="Arial" w:hAnsi="Arial" w:cs="Arial"/>
                <w:i/>
                <w:iCs/>
                <w:color w:val="000000"/>
                <w:sz w:val="18"/>
                <w:szCs w:val="18"/>
              </w:rPr>
              <w:t>45</w:t>
            </w:r>
            <w:r w:rsidR="00C92EBF">
              <w:rPr>
                <w:rFonts w:ascii="Arial" w:hAnsi="Arial" w:cs="Arial"/>
                <w:i/>
                <w:iCs/>
                <w:color w:val="000000"/>
                <w:sz w:val="18"/>
                <w:szCs w:val="18"/>
              </w:rPr>
              <w:t>,</w:t>
            </w:r>
            <w:r w:rsidRPr="00475810">
              <w:rPr>
                <w:rFonts w:ascii="Arial" w:hAnsi="Arial" w:cs="Arial"/>
                <w:i/>
                <w:iCs/>
                <w:color w:val="000000"/>
                <w:sz w:val="18"/>
                <w:szCs w:val="18"/>
              </w:rPr>
              <w:t>3</w:t>
            </w:r>
            <w:r w:rsidRPr="00475810">
              <w:rPr>
                <w:rFonts w:ascii="Arial" w:hAnsi="Arial" w:cs="Arial"/>
                <w:i/>
                <w:color w:val="000000"/>
                <w:sz w:val="18"/>
                <w:szCs w:val="18"/>
              </w:rPr>
              <w:t>%</w:t>
            </w:r>
          </w:p>
        </w:tc>
        <w:tc>
          <w:tcPr>
            <w:tcW w:w="1437" w:type="dxa"/>
            <w:tcBorders>
              <w:left w:val="single" w:sz="2" w:space="0" w:color="BFBFBF" w:themeColor="background1" w:themeShade="BF"/>
            </w:tcBorders>
            <w:shd w:val="clear" w:color="auto" w:fill="FFFFFF" w:themeFill="background1"/>
            <w:vAlign w:val="center"/>
          </w:tcPr>
          <w:p w14:paraId="33716F60" w14:textId="3F76C783"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sidRPr="00475810">
              <w:rPr>
                <w:rFonts w:ascii="Arial" w:hAnsi="Arial" w:cs="Arial"/>
                <w:i/>
                <w:iCs/>
                <w:color w:val="000000"/>
                <w:sz w:val="18"/>
                <w:szCs w:val="18"/>
              </w:rPr>
              <w:t>194</w:t>
            </w:r>
            <w:r w:rsidR="00C92EBF">
              <w:rPr>
                <w:rFonts w:ascii="Arial" w:hAnsi="Arial" w:cs="Arial"/>
                <w:i/>
                <w:iCs/>
                <w:color w:val="000000"/>
                <w:sz w:val="18"/>
                <w:szCs w:val="18"/>
              </w:rPr>
              <w:t>.</w:t>
            </w:r>
            <w:r w:rsidRPr="00475810">
              <w:rPr>
                <w:rFonts w:ascii="Arial" w:hAnsi="Arial" w:cs="Arial"/>
                <w:i/>
                <w:iCs/>
                <w:color w:val="000000"/>
                <w:sz w:val="18"/>
                <w:szCs w:val="18"/>
              </w:rPr>
              <w:t>828</w:t>
            </w:r>
          </w:p>
        </w:tc>
        <w:tc>
          <w:tcPr>
            <w:tcW w:w="1436" w:type="dxa"/>
            <w:shd w:val="clear" w:color="auto" w:fill="FFFFFF" w:themeFill="background1"/>
            <w:vAlign w:val="center"/>
          </w:tcPr>
          <w:p w14:paraId="21CA8779" w14:textId="47507083"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sidRPr="00475810">
              <w:rPr>
                <w:rFonts w:ascii="Arial" w:hAnsi="Arial" w:cs="Arial"/>
                <w:i/>
                <w:iCs/>
                <w:color w:val="000000"/>
                <w:sz w:val="18"/>
                <w:szCs w:val="18"/>
              </w:rPr>
              <w:t>58</w:t>
            </w:r>
            <w:r w:rsidR="00C92EBF">
              <w:rPr>
                <w:rFonts w:ascii="Arial" w:hAnsi="Arial" w:cs="Arial"/>
                <w:i/>
                <w:iCs/>
                <w:color w:val="000000"/>
                <w:sz w:val="18"/>
                <w:szCs w:val="18"/>
              </w:rPr>
              <w:t>.</w:t>
            </w:r>
            <w:r w:rsidRPr="00475810">
              <w:rPr>
                <w:rFonts w:ascii="Arial" w:hAnsi="Arial" w:cs="Arial"/>
                <w:i/>
                <w:iCs/>
                <w:color w:val="000000"/>
                <w:sz w:val="18"/>
                <w:szCs w:val="18"/>
              </w:rPr>
              <w:t>482</w:t>
            </w:r>
          </w:p>
        </w:tc>
      </w:tr>
      <w:tr w:rsidR="00AE086D" w:rsidRPr="001745EE" w14:paraId="07CC13AA" w14:textId="77777777" w:rsidTr="006B2DDB">
        <w:trPr>
          <w:trHeight w:val="197"/>
        </w:trPr>
        <w:tc>
          <w:tcPr>
            <w:tcW w:w="3396" w:type="dxa"/>
            <w:tcBorders>
              <w:right w:val="single" w:sz="2" w:space="0" w:color="BFBFBF" w:themeColor="background1" w:themeShade="BF"/>
            </w:tcBorders>
            <w:shd w:val="clear" w:color="auto" w:fill="FFFFFF" w:themeFill="background1"/>
            <w:vAlign w:val="center"/>
          </w:tcPr>
          <w:p w14:paraId="5440FE95" w14:textId="6DFB21F8" w:rsidR="00AE086D" w:rsidRPr="002B72B8" w:rsidRDefault="00CB14AC" w:rsidP="00AE086D">
            <w:pPr>
              <w:pStyle w:val="ColorfulList-Accent11"/>
              <w:tabs>
                <w:tab w:val="left" w:pos="0"/>
                <w:tab w:val="left" w:pos="284"/>
              </w:tabs>
              <w:ind w:left="0" w:right="-90"/>
              <w:jc w:val="right"/>
              <w:rPr>
                <w:rFonts w:ascii="Arial" w:hAnsi="Arial" w:cs="Arial"/>
                <w:bCs/>
                <w:i/>
                <w:lang w:val="el-GR"/>
              </w:rPr>
            </w:pPr>
            <w:r>
              <w:rPr>
                <w:rFonts w:ascii="Arial" w:hAnsi="Arial" w:cs="Arial"/>
                <w:bCs/>
                <w:i/>
              </w:rPr>
              <w:t>FWA</w:t>
            </w:r>
            <w:r w:rsidR="00AE086D" w:rsidRPr="004F331D">
              <w:rPr>
                <w:rFonts w:ascii="Arial" w:hAnsi="Arial" w:cs="Arial"/>
                <w:bCs/>
                <w:i/>
                <w:lang w:val="el-GR"/>
              </w:rPr>
              <w:t xml:space="preserve"> </w:t>
            </w:r>
          </w:p>
        </w:tc>
        <w:tc>
          <w:tcPr>
            <w:tcW w:w="1437" w:type="dxa"/>
            <w:tcBorders>
              <w:left w:val="single" w:sz="2" w:space="0" w:color="BFBFBF" w:themeColor="background1" w:themeShade="BF"/>
            </w:tcBorders>
            <w:shd w:val="clear" w:color="auto" w:fill="FFFFFF" w:themeFill="background1"/>
            <w:vAlign w:val="center"/>
          </w:tcPr>
          <w:p w14:paraId="5C738BF2" w14:textId="3793FD30" w:rsidR="00AE086D" w:rsidRPr="008F36CA" w:rsidRDefault="00AE086D" w:rsidP="00AE086D">
            <w:pPr>
              <w:pStyle w:val="ColorfulList-Accent11"/>
              <w:tabs>
                <w:tab w:val="left" w:pos="0"/>
                <w:tab w:val="left" w:pos="284"/>
              </w:tabs>
              <w:ind w:left="0" w:right="-90"/>
              <w:jc w:val="center"/>
              <w:rPr>
                <w:rFonts w:ascii="Arial" w:hAnsi="Arial" w:cs="Arial"/>
                <w:bCs/>
                <w:i/>
                <w:color w:val="C00000"/>
              </w:rPr>
            </w:pPr>
            <w:r>
              <w:rPr>
                <w:rFonts w:ascii="Arial" w:hAnsi="Arial" w:cs="Arial"/>
                <w:i/>
                <w:iCs/>
                <w:sz w:val="18"/>
                <w:szCs w:val="18"/>
              </w:rPr>
              <w:t>100</w:t>
            </w:r>
            <w:r w:rsidR="00C92EBF">
              <w:rPr>
                <w:rFonts w:ascii="Arial" w:hAnsi="Arial" w:cs="Arial"/>
                <w:i/>
                <w:iCs/>
                <w:sz w:val="18"/>
                <w:szCs w:val="18"/>
              </w:rPr>
              <w:t>.</w:t>
            </w:r>
            <w:r>
              <w:rPr>
                <w:rFonts w:ascii="Arial" w:hAnsi="Arial" w:cs="Arial"/>
                <w:i/>
                <w:iCs/>
                <w:sz w:val="18"/>
                <w:szCs w:val="18"/>
              </w:rPr>
              <w:t>231</w:t>
            </w:r>
          </w:p>
        </w:tc>
        <w:tc>
          <w:tcPr>
            <w:tcW w:w="1437" w:type="dxa"/>
            <w:shd w:val="clear" w:color="auto" w:fill="FFFFFF" w:themeFill="background1"/>
            <w:vAlign w:val="center"/>
          </w:tcPr>
          <w:p w14:paraId="57CC9961" w14:textId="1180AA8A" w:rsidR="00AE086D" w:rsidRPr="008F36CA" w:rsidRDefault="00AE086D" w:rsidP="00AE086D">
            <w:pPr>
              <w:pStyle w:val="ColorfulList-Accent11"/>
              <w:tabs>
                <w:tab w:val="left" w:pos="0"/>
                <w:tab w:val="left" w:pos="284"/>
              </w:tabs>
              <w:ind w:left="0" w:right="-90"/>
              <w:jc w:val="center"/>
              <w:rPr>
                <w:rFonts w:ascii="Arial" w:hAnsi="Arial" w:cs="Arial"/>
                <w:bCs/>
                <w:i/>
                <w:color w:val="C00000"/>
              </w:rPr>
            </w:pPr>
            <w:r w:rsidRPr="005B2F23">
              <w:rPr>
                <w:rFonts w:ascii="Arial" w:hAnsi="Arial" w:cs="Arial"/>
                <w:i/>
                <w:iCs/>
                <w:sz w:val="18"/>
                <w:szCs w:val="18"/>
              </w:rPr>
              <w:t>3</w:t>
            </w:r>
            <w:r>
              <w:rPr>
                <w:rFonts w:ascii="Arial" w:hAnsi="Arial" w:cs="Arial"/>
                <w:i/>
                <w:iCs/>
                <w:sz w:val="18"/>
                <w:szCs w:val="18"/>
              </w:rPr>
              <w:t>4</w:t>
            </w:r>
            <w:r w:rsidR="00C92EBF">
              <w:rPr>
                <w:rFonts w:ascii="Arial" w:hAnsi="Arial" w:cs="Arial"/>
                <w:i/>
                <w:iCs/>
                <w:sz w:val="18"/>
                <w:szCs w:val="18"/>
              </w:rPr>
              <w:t>.</w:t>
            </w:r>
            <w:r>
              <w:rPr>
                <w:rFonts w:ascii="Arial" w:hAnsi="Arial" w:cs="Arial"/>
                <w:i/>
                <w:iCs/>
                <w:sz w:val="18"/>
                <w:szCs w:val="18"/>
              </w:rPr>
              <w:t>516</w:t>
            </w:r>
          </w:p>
        </w:tc>
        <w:tc>
          <w:tcPr>
            <w:tcW w:w="1436" w:type="dxa"/>
            <w:tcBorders>
              <w:right w:val="single" w:sz="2" w:space="0" w:color="BFBFBF" w:themeColor="background1" w:themeShade="BF"/>
            </w:tcBorders>
            <w:shd w:val="clear" w:color="auto" w:fill="FFFFFF" w:themeFill="background1"/>
            <w:vAlign w:val="center"/>
          </w:tcPr>
          <w:p w14:paraId="5F250F9A" w14:textId="0BAC124C"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sidRPr="000B4139">
              <w:rPr>
                <w:rFonts w:ascii="Arial" w:hAnsi="Arial" w:cs="Arial"/>
                <w:i/>
                <w:color w:val="000000"/>
                <w:sz w:val="18"/>
                <w:szCs w:val="18"/>
              </w:rPr>
              <w:t>+190</w:t>
            </w:r>
            <w:r w:rsidR="00C92EBF">
              <w:rPr>
                <w:rFonts w:ascii="Arial" w:hAnsi="Arial" w:cs="Arial"/>
                <w:i/>
                <w:color w:val="000000"/>
                <w:sz w:val="18"/>
                <w:szCs w:val="18"/>
              </w:rPr>
              <w:t>,</w:t>
            </w:r>
            <w:r w:rsidRPr="000B4139">
              <w:rPr>
                <w:rFonts w:ascii="Arial" w:hAnsi="Arial" w:cs="Arial"/>
                <w:i/>
                <w:color w:val="000000"/>
                <w:sz w:val="18"/>
                <w:szCs w:val="18"/>
              </w:rPr>
              <w:t>4%</w:t>
            </w:r>
          </w:p>
        </w:tc>
        <w:tc>
          <w:tcPr>
            <w:tcW w:w="1437" w:type="dxa"/>
            <w:tcBorders>
              <w:left w:val="single" w:sz="2" w:space="0" w:color="BFBFBF" w:themeColor="background1" w:themeShade="BF"/>
            </w:tcBorders>
            <w:shd w:val="clear" w:color="auto" w:fill="FFFFFF" w:themeFill="background1"/>
            <w:vAlign w:val="center"/>
          </w:tcPr>
          <w:p w14:paraId="2BD48055" w14:textId="7D291E38"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Pr>
                <w:rFonts w:ascii="Arial" w:hAnsi="Arial" w:cs="Arial"/>
                <w:i/>
                <w:iCs/>
              </w:rPr>
              <w:t>65</w:t>
            </w:r>
            <w:r w:rsidR="00C92EBF">
              <w:rPr>
                <w:rFonts w:ascii="Arial" w:hAnsi="Arial" w:cs="Arial"/>
                <w:i/>
                <w:iCs/>
              </w:rPr>
              <w:t>.</w:t>
            </w:r>
            <w:r>
              <w:rPr>
                <w:rFonts w:ascii="Arial" w:hAnsi="Arial" w:cs="Arial"/>
                <w:i/>
                <w:iCs/>
              </w:rPr>
              <w:t>715</w:t>
            </w:r>
          </w:p>
        </w:tc>
        <w:tc>
          <w:tcPr>
            <w:tcW w:w="1436" w:type="dxa"/>
            <w:shd w:val="clear" w:color="auto" w:fill="FFFFFF" w:themeFill="background1"/>
            <w:vAlign w:val="center"/>
          </w:tcPr>
          <w:p w14:paraId="124BFA40" w14:textId="1FBDBF2A" w:rsidR="00AE086D" w:rsidRPr="008F36CA" w:rsidRDefault="00AE086D" w:rsidP="00AE086D">
            <w:pPr>
              <w:pStyle w:val="ColorfulList-Accent11"/>
              <w:tabs>
                <w:tab w:val="left" w:pos="0"/>
                <w:tab w:val="left" w:pos="284"/>
              </w:tabs>
              <w:ind w:left="0" w:right="-90"/>
              <w:jc w:val="center"/>
              <w:rPr>
                <w:rFonts w:ascii="Arial" w:hAnsi="Arial" w:cs="Arial"/>
                <w:i/>
                <w:iCs/>
                <w:color w:val="C00000"/>
              </w:rPr>
            </w:pPr>
            <w:r w:rsidRPr="005B2F23">
              <w:rPr>
                <w:rFonts w:ascii="Arial" w:hAnsi="Arial" w:cs="Arial"/>
                <w:i/>
                <w:iCs/>
              </w:rPr>
              <w:t>1</w:t>
            </w:r>
            <w:r>
              <w:rPr>
                <w:rFonts w:ascii="Arial" w:hAnsi="Arial" w:cs="Arial"/>
                <w:i/>
                <w:iCs/>
              </w:rPr>
              <w:t>7</w:t>
            </w:r>
            <w:r w:rsidR="00C92EBF">
              <w:rPr>
                <w:rFonts w:ascii="Arial" w:hAnsi="Arial" w:cs="Arial"/>
                <w:i/>
                <w:iCs/>
              </w:rPr>
              <w:t>.</w:t>
            </w:r>
            <w:r>
              <w:rPr>
                <w:rFonts w:ascii="Arial" w:hAnsi="Arial" w:cs="Arial"/>
                <w:i/>
                <w:iCs/>
              </w:rPr>
              <w:t>318</w:t>
            </w:r>
          </w:p>
        </w:tc>
      </w:tr>
      <w:tr w:rsidR="00902500" w:rsidRPr="001745EE" w14:paraId="272332F9" w14:textId="77777777" w:rsidTr="006B2DDB">
        <w:trPr>
          <w:trHeight w:val="362"/>
        </w:trPr>
        <w:tc>
          <w:tcPr>
            <w:tcW w:w="3396"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3B1B0CE4" w14:textId="22588668" w:rsidR="00902500" w:rsidRPr="002B72B8" w:rsidRDefault="00902500" w:rsidP="00902500">
            <w:pPr>
              <w:pStyle w:val="ColorfulList-Accent11"/>
              <w:tabs>
                <w:tab w:val="left" w:pos="0"/>
                <w:tab w:val="left" w:pos="284"/>
              </w:tabs>
              <w:ind w:left="0" w:right="-90"/>
              <w:rPr>
                <w:rFonts w:ascii="Arial" w:hAnsi="Arial" w:cs="Arial"/>
                <w:b/>
                <w:iCs/>
                <w:lang w:val="el-GR"/>
              </w:rPr>
            </w:pPr>
            <w:r w:rsidRPr="002B72B8">
              <w:rPr>
                <w:rFonts w:ascii="Arial" w:hAnsi="Arial" w:cs="Arial"/>
                <w:b/>
                <w:iCs/>
                <w:lang w:val="el-GR"/>
              </w:rPr>
              <w:t>Συνδρομητές τηλεόρασης</w:t>
            </w:r>
          </w:p>
        </w:tc>
        <w:tc>
          <w:tcPr>
            <w:tcW w:w="1437"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17CA6025" w14:textId="35737703" w:rsidR="00902500" w:rsidRPr="008F36CA" w:rsidRDefault="00902500" w:rsidP="00902500">
            <w:pPr>
              <w:pStyle w:val="ColorfulList-Accent11"/>
              <w:tabs>
                <w:tab w:val="left" w:pos="0"/>
                <w:tab w:val="left" w:pos="284"/>
              </w:tabs>
              <w:ind w:left="0" w:right="-90"/>
              <w:jc w:val="center"/>
              <w:rPr>
                <w:rFonts w:ascii="Arial" w:hAnsi="Arial" w:cs="Arial"/>
                <w:b/>
                <w:i/>
                <w:color w:val="C00000"/>
              </w:rPr>
            </w:pPr>
            <w:r w:rsidRPr="00485904">
              <w:rPr>
                <w:rFonts w:ascii="Arial" w:hAnsi="Arial" w:cs="Arial"/>
                <w:b/>
                <w:bCs/>
                <w:color w:val="000000"/>
              </w:rPr>
              <w:t>792</w:t>
            </w:r>
            <w:r>
              <w:rPr>
                <w:rFonts w:ascii="Arial" w:hAnsi="Arial" w:cs="Arial"/>
                <w:b/>
                <w:bCs/>
                <w:color w:val="000000"/>
                <w:lang w:val="el-GR"/>
              </w:rPr>
              <w:t>.</w:t>
            </w:r>
            <w:r>
              <w:rPr>
                <w:rFonts w:ascii="Arial" w:hAnsi="Arial" w:cs="Arial"/>
                <w:b/>
                <w:bCs/>
                <w:color w:val="000000"/>
              </w:rPr>
              <w:t>463</w:t>
            </w:r>
          </w:p>
        </w:tc>
        <w:tc>
          <w:tcPr>
            <w:tcW w:w="1437" w:type="dxa"/>
            <w:tcBorders>
              <w:bottom w:val="single" w:sz="2" w:space="0" w:color="BFBFBF" w:themeColor="background1" w:themeShade="BF"/>
            </w:tcBorders>
            <w:shd w:val="clear" w:color="auto" w:fill="FFFFFF" w:themeFill="background1"/>
            <w:vAlign w:val="center"/>
          </w:tcPr>
          <w:p w14:paraId="49D732B3" w14:textId="66D8A4F1" w:rsidR="00902500" w:rsidRPr="008F36CA" w:rsidRDefault="00902500" w:rsidP="00902500">
            <w:pPr>
              <w:pStyle w:val="ColorfulList-Accent11"/>
              <w:tabs>
                <w:tab w:val="left" w:pos="0"/>
                <w:tab w:val="left" w:pos="284"/>
              </w:tabs>
              <w:ind w:left="0" w:right="-90"/>
              <w:jc w:val="center"/>
              <w:rPr>
                <w:rFonts w:ascii="Arial" w:hAnsi="Arial" w:cs="Arial"/>
                <w:b/>
                <w:i/>
                <w:color w:val="C00000"/>
              </w:rPr>
            </w:pPr>
            <w:r w:rsidRPr="00485904" w:rsidDel="00E7675F">
              <w:rPr>
                <w:rFonts w:ascii="Arial" w:hAnsi="Arial" w:cs="Arial"/>
                <w:b/>
                <w:bCs/>
                <w:color w:val="000000"/>
              </w:rPr>
              <w:t>733</w:t>
            </w:r>
            <w:r w:rsidDel="00E7675F">
              <w:rPr>
                <w:rFonts w:ascii="Arial" w:hAnsi="Arial" w:cs="Arial"/>
                <w:b/>
                <w:color w:val="000000"/>
                <w:lang w:val="el-GR"/>
              </w:rPr>
              <w:t>.</w:t>
            </w:r>
            <w:r w:rsidRPr="00485904" w:rsidDel="00E7675F">
              <w:rPr>
                <w:rFonts w:ascii="Arial" w:hAnsi="Arial" w:cs="Arial"/>
                <w:b/>
                <w:bCs/>
                <w:color w:val="000000"/>
              </w:rPr>
              <w:t>217</w:t>
            </w:r>
          </w:p>
        </w:tc>
        <w:tc>
          <w:tcPr>
            <w:tcW w:w="1436"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5FC0CCE6" w14:textId="3C6AFA1B" w:rsidR="00902500" w:rsidRPr="008F36CA" w:rsidRDefault="00902500" w:rsidP="00902500">
            <w:pPr>
              <w:pStyle w:val="ColorfulList-Accent11"/>
              <w:tabs>
                <w:tab w:val="left" w:pos="0"/>
                <w:tab w:val="left" w:pos="284"/>
              </w:tabs>
              <w:ind w:left="0" w:right="-90"/>
              <w:jc w:val="center"/>
              <w:rPr>
                <w:rFonts w:ascii="Arial" w:hAnsi="Arial" w:cs="Arial"/>
                <w:b/>
                <w:bCs/>
                <w:color w:val="C00000"/>
              </w:rPr>
            </w:pPr>
            <w:r w:rsidRPr="00485904">
              <w:rPr>
                <w:rFonts w:ascii="Arial" w:hAnsi="Arial" w:cs="Arial"/>
                <w:b/>
                <w:color w:val="000000"/>
              </w:rPr>
              <w:t>+</w:t>
            </w:r>
            <w:r w:rsidRPr="00485904">
              <w:rPr>
                <w:rFonts w:ascii="Arial" w:hAnsi="Arial" w:cs="Arial"/>
                <w:b/>
                <w:bCs/>
                <w:color w:val="000000"/>
              </w:rPr>
              <w:t>8</w:t>
            </w:r>
            <w:r>
              <w:rPr>
                <w:rFonts w:ascii="Arial" w:hAnsi="Arial" w:cs="Arial"/>
                <w:b/>
                <w:bCs/>
                <w:color w:val="000000"/>
                <w:lang w:val="el-GR"/>
              </w:rPr>
              <w:t>,</w:t>
            </w:r>
            <w:r>
              <w:rPr>
                <w:rFonts w:ascii="Arial" w:hAnsi="Arial" w:cs="Arial"/>
                <w:b/>
                <w:bCs/>
                <w:color w:val="000000"/>
              </w:rPr>
              <w:t>1</w:t>
            </w:r>
            <w:r w:rsidRPr="00485904" w:rsidDel="00E7675F">
              <w:rPr>
                <w:rFonts w:ascii="Arial" w:hAnsi="Arial" w:cs="Arial"/>
                <w:b/>
                <w:color w:val="000000"/>
              </w:rPr>
              <w:t>%</w:t>
            </w:r>
          </w:p>
        </w:tc>
        <w:tc>
          <w:tcPr>
            <w:tcW w:w="1437"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02818586" w14:textId="11EE924A" w:rsidR="00902500" w:rsidRPr="008F36CA" w:rsidRDefault="00902500" w:rsidP="00902500">
            <w:pPr>
              <w:pStyle w:val="ColorfulList-Accent11"/>
              <w:tabs>
                <w:tab w:val="left" w:pos="0"/>
                <w:tab w:val="left" w:pos="284"/>
              </w:tabs>
              <w:ind w:left="0" w:right="-90"/>
              <w:jc w:val="center"/>
              <w:rPr>
                <w:rFonts w:ascii="Arial" w:hAnsi="Arial" w:cs="Arial"/>
                <w:b/>
                <w:bCs/>
                <w:color w:val="C00000"/>
              </w:rPr>
            </w:pPr>
            <w:r>
              <w:rPr>
                <w:rFonts w:ascii="Arial" w:hAnsi="Arial" w:cs="Arial"/>
                <w:b/>
                <w:bCs/>
                <w:color w:val="000000"/>
              </w:rPr>
              <w:t>59</w:t>
            </w:r>
            <w:r>
              <w:rPr>
                <w:rFonts w:ascii="Arial" w:hAnsi="Arial" w:cs="Arial"/>
                <w:b/>
                <w:bCs/>
                <w:color w:val="000000"/>
                <w:lang w:val="el-GR"/>
              </w:rPr>
              <w:t>.</w:t>
            </w:r>
            <w:r>
              <w:rPr>
                <w:rFonts w:ascii="Arial" w:hAnsi="Arial" w:cs="Arial"/>
                <w:b/>
                <w:bCs/>
                <w:color w:val="000000"/>
              </w:rPr>
              <w:t>246</w:t>
            </w:r>
          </w:p>
        </w:tc>
        <w:tc>
          <w:tcPr>
            <w:tcW w:w="1436" w:type="dxa"/>
            <w:tcBorders>
              <w:bottom w:val="single" w:sz="2" w:space="0" w:color="BFBFBF" w:themeColor="background1" w:themeShade="BF"/>
            </w:tcBorders>
            <w:shd w:val="clear" w:color="auto" w:fill="FFFFFF" w:themeFill="background1"/>
            <w:vAlign w:val="center"/>
          </w:tcPr>
          <w:p w14:paraId="3DEC23B9" w14:textId="20A7235F" w:rsidR="00902500" w:rsidRPr="008F36CA" w:rsidRDefault="00902500" w:rsidP="00902500">
            <w:pPr>
              <w:pStyle w:val="ColorfulList-Accent11"/>
              <w:tabs>
                <w:tab w:val="left" w:pos="0"/>
                <w:tab w:val="left" w:pos="284"/>
              </w:tabs>
              <w:ind w:left="0" w:right="-90"/>
              <w:jc w:val="center"/>
              <w:rPr>
                <w:rFonts w:ascii="Arial" w:hAnsi="Arial" w:cs="Arial"/>
                <w:b/>
                <w:bCs/>
                <w:i/>
                <w:iCs/>
                <w:color w:val="C00000"/>
              </w:rPr>
            </w:pPr>
            <w:r>
              <w:rPr>
                <w:rFonts w:ascii="Arial" w:hAnsi="Arial" w:cs="Arial"/>
                <w:b/>
                <w:bCs/>
                <w:i/>
                <w:iCs/>
                <w:color w:val="000000"/>
              </w:rPr>
              <w:t>15</w:t>
            </w:r>
            <w:r>
              <w:rPr>
                <w:rFonts w:ascii="Arial" w:hAnsi="Arial" w:cs="Arial"/>
                <w:b/>
                <w:bCs/>
                <w:i/>
                <w:iCs/>
                <w:color w:val="000000"/>
                <w:lang w:val="el-GR"/>
              </w:rPr>
              <w:t>.</w:t>
            </w:r>
            <w:r>
              <w:rPr>
                <w:rFonts w:ascii="Arial" w:hAnsi="Arial" w:cs="Arial"/>
                <w:b/>
                <w:bCs/>
                <w:i/>
                <w:iCs/>
                <w:color w:val="000000"/>
              </w:rPr>
              <w:t>366</w:t>
            </w:r>
          </w:p>
        </w:tc>
      </w:tr>
    </w:tbl>
    <w:p w14:paraId="422DA54A" w14:textId="77777777" w:rsidR="00732467" w:rsidRPr="00FB20CB" w:rsidRDefault="00732467" w:rsidP="003367AD">
      <w:pPr>
        <w:rPr>
          <w:rFonts w:ascii="Arial" w:hAnsi="Arial" w:cs="Arial"/>
          <w:i/>
          <w:sz w:val="16"/>
          <w:szCs w:val="16"/>
        </w:rPr>
      </w:pPr>
    </w:p>
    <w:p w14:paraId="0FB5B994" w14:textId="77777777" w:rsidR="00AC3A33" w:rsidRPr="00FB20CB" w:rsidRDefault="00AC3A33" w:rsidP="003367AD">
      <w:pPr>
        <w:rPr>
          <w:rFonts w:ascii="Arial" w:hAnsi="Arial" w:cs="Arial"/>
          <w:i/>
          <w:sz w:val="16"/>
          <w:szCs w:val="16"/>
        </w:rPr>
      </w:pPr>
    </w:p>
    <w:p w14:paraId="6B4819EB" w14:textId="00AC755D" w:rsidR="00475EE9" w:rsidRPr="00FB20CB" w:rsidRDefault="00475EE9" w:rsidP="00475EE9">
      <w:pPr>
        <w:pStyle w:val="Caption"/>
        <w:keepNext/>
        <w:rPr>
          <w:rFonts w:cs="Arial"/>
        </w:rPr>
      </w:pPr>
      <w:r w:rsidRPr="00FB20CB">
        <w:rPr>
          <w:rFonts w:cs="Arial"/>
        </w:rPr>
        <w:t xml:space="preserve">Λειτουργικά Στοιχεία Κινητής </w:t>
      </w:r>
    </w:p>
    <w:tbl>
      <w:tblPr>
        <w:tblStyle w:val="TableGrid"/>
        <w:tblW w:w="10490"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3393"/>
        <w:gridCol w:w="1518"/>
        <w:gridCol w:w="1314"/>
        <w:gridCol w:w="1517"/>
        <w:gridCol w:w="1455"/>
        <w:gridCol w:w="1293"/>
      </w:tblGrid>
      <w:tr w:rsidR="008E06D6" w:rsidRPr="001745EE" w14:paraId="57B01D5E" w14:textId="77777777" w:rsidTr="00FE2D2D">
        <w:trPr>
          <w:trHeight w:val="463"/>
        </w:trPr>
        <w:tc>
          <w:tcPr>
            <w:tcW w:w="3393"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526D40D" w14:textId="0C1F5F6B" w:rsidR="008E06D6" w:rsidRPr="00576929" w:rsidRDefault="008E06D6" w:rsidP="008E06D6">
            <w:pPr>
              <w:pStyle w:val="ColorfulList-Accent11"/>
              <w:tabs>
                <w:tab w:val="left" w:pos="0"/>
                <w:tab w:val="left" w:pos="284"/>
              </w:tabs>
              <w:ind w:left="0" w:right="-90"/>
              <w:rPr>
                <w:rFonts w:ascii="Arial" w:hAnsi="Arial" w:cs="Arial"/>
                <w:b/>
                <w:bCs/>
                <w:i/>
                <w:lang w:val="el-GR"/>
              </w:rPr>
            </w:pPr>
            <w:r w:rsidRPr="004B27A4">
              <w:rPr>
                <w:rFonts w:ascii="Arial" w:hAnsi="Arial" w:cs="Arial"/>
                <w:b/>
              </w:rPr>
              <w:t>Λειτουργικά Στοιχεία Κινητής</w:t>
            </w:r>
          </w:p>
        </w:tc>
        <w:tc>
          <w:tcPr>
            <w:tcW w:w="1518"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7DA1D248" w14:textId="4BD43D98" w:rsidR="008E06D6" w:rsidRPr="00576929" w:rsidRDefault="008E06D6" w:rsidP="008E06D6">
            <w:pPr>
              <w:pStyle w:val="ColorfulList-Accent11"/>
              <w:tabs>
                <w:tab w:val="left" w:pos="0"/>
                <w:tab w:val="left" w:pos="284"/>
              </w:tabs>
              <w:ind w:left="0" w:right="-90"/>
              <w:jc w:val="center"/>
              <w:rPr>
                <w:rFonts w:ascii="Arial" w:hAnsi="Arial" w:cs="Arial"/>
                <w:b/>
                <w:bCs/>
                <w:i/>
              </w:rPr>
            </w:pPr>
            <w:r w:rsidRPr="00DB0DFE">
              <w:rPr>
                <w:rFonts w:ascii="Arial" w:hAnsi="Arial" w:cs="Arial"/>
                <w:b/>
              </w:rPr>
              <w:t>Q</w:t>
            </w:r>
            <w:r>
              <w:rPr>
                <w:rFonts w:ascii="Arial" w:hAnsi="Arial" w:cs="Arial"/>
                <w:b/>
                <w:lang w:val="el-GR"/>
              </w:rPr>
              <w:t>1</w:t>
            </w:r>
            <w:r w:rsidRPr="00DB0DFE">
              <w:rPr>
                <w:rFonts w:ascii="Arial" w:hAnsi="Arial" w:cs="Arial"/>
                <w:b/>
              </w:rPr>
              <w:t>'2</w:t>
            </w:r>
            <w:r>
              <w:rPr>
                <w:rFonts w:ascii="Arial" w:hAnsi="Arial" w:cs="Arial"/>
                <w:b/>
                <w:lang w:val="el-GR"/>
              </w:rPr>
              <w:t>6</w:t>
            </w:r>
          </w:p>
        </w:tc>
        <w:tc>
          <w:tcPr>
            <w:tcW w:w="1314"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440D1303" w14:textId="7C68AC14" w:rsidR="008E06D6" w:rsidRPr="00576929" w:rsidRDefault="008E06D6" w:rsidP="008E06D6">
            <w:pPr>
              <w:pStyle w:val="ColorfulList-Accent11"/>
              <w:tabs>
                <w:tab w:val="left" w:pos="0"/>
                <w:tab w:val="left" w:pos="284"/>
              </w:tabs>
              <w:ind w:left="0" w:right="-90"/>
              <w:jc w:val="center"/>
              <w:rPr>
                <w:rFonts w:ascii="Arial" w:hAnsi="Arial" w:cs="Arial"/>
                <w:b/>
                <w:bCs/>
                <w:i/>
              </w:rPr>
            </w:pPr>
            <w:r w:rsidRPr="00DB0DFE">
              <w:rPr>
                <w:rFonts w:ascii="Arial" w:hAnsi="Arial" w:cs="Arial"/>
                <w:b/>
              </w:rPr>
              <w:t>Q</w:t>
            </w:r>
            <w:r>
              <w:rPr>
                <w:rFonts w:ascii="Arial" w:hAnsi="Arial" w:cs="Arial"/>
                <w:b/>
                <w:lang w:val="el-GR"/>
              </w:rPr>
              <w:t>1</w:t>
            </w:r>
            <w:r w:rsidRPr="00DB0DFE">
              <w:rPr>
                <w:rFonts w:ascii="Arial" w:hAnsi="Arial" w:cs="Arial"/>
                <w:b/>
              </w:rPr>
              <w:t>'2</w:t>
            </w:r>
            <w:r>
              <w:rPr>
                <w:rFonts w:ascii="Arial" w:hAnsi="Arial" w:cs="Arial"/>
                <w:b/>
                <w:lang w:val="el-GR"/>
              </w:rPr>
              <w:t>5</w:t>
            </w:r>
          </w:p>
        </w:tc>
        <w:tc>
          <w:tcPr>
            <w:tcW w:w="1517"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49F217F" w14:textId="77777777" w:rsidR="008E06D6" w:rsidRPr="00576929" w:rsidRDefault="008E06D6" w:rsidP="008E06D6">
            <w:pPr>
              <w:pStyle w:val="ColorfulList-Accent11"/>
              <w:tabs>
                <w:tab w:val="left" w:pos="0"/>
                <w:tab w:val="left" w:pos="284"/>
              </w:tabs>
              <w:ind w:left="0" w:right="-90"/>
              <w:jc w:val="center"/>
              <w:rPr>
                <w:rFonts w:ascii="Arial" w:hAnsi="Arial" w:cs="Arial"/>
                <w:b/>
                <w:bCs/>
              </w:rPr>
            </w:pPr>
            <w:r w:rsidRPr="00576929">
              <w:rPr>
                <w:rFonts w:ascii="Arial" w:hAnsi="Arial" w:cs="Arial"/>
                <w:b/>
                <w:bCs/>
              </w:rPr>
              <w:t>y-o-y</w:t>
            </w:r>
          </w:p>
        </w:tc>
        <w:tc>
          <w:tcPr>
            <w:tcW w:w="145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27D4E2F3" w14:textId="77777777" w:rsidR="008E06D6" w:rsidRPr="00576929" w:rsidRDefault="008E06D6" w:rsidP="008E06D6">
            <w:pPr>
              <w:pStyle w:val="ColorfulList-Accent11"/>
              <w:tabs>
                <w:tab w:val="left" w:pos="0"/>
                <w:tab w:val="left" w:pos="284"/>
              </w:tabs>
              <w:ind w:left="0" w:right="-90"/>
              <w:jc w:val="center"/>
              <w:rPr>
                <w:rFonts w:ascii="Arial" w:hAnsi="Arial" w:cs="Arial"/>
                <w:b/>
                <w:bCs/>
              </w:rPr>
            </w:pPr>
            <w:r w:rsidRPr="00576929">
              <w:rPr>
                <w:rFonts w:ascii="Arial" w:hAnsi="Arial" w:cs="Arial"/>
                <w:b/>
                <w:bCs/>
              </w:rPr>
              <w:t>y-o-y</w:t>
            </w:r>
          </w:p>
        </w:tc>
        <w:tc>
          <w:tcPr>
            <w:tcW w:w="1293" w:type="dxa"/>
            <w:tcBorders>
              <w:top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2D1347A4" w14:textId="035EE090" w:rsidR="008E06D6" w:rsidRPr="00DB0DFE" w:rsidRDefault="008E06D6" w:rsidP="008E06D6">
            <w:pPr>
              <w:pStyle w:val="ColorfulList-Accent11"/>
              <w:tabs>
                <w:tab w:val="left" w:pos="0"/>
                <w:tab w:val="left" w:pos="284"/>
              </w:tabs>
              <w:ind w:left="0" w:right="-90"/>
              <w:jc w:val="center"/>
              <w:rPr>
                <w:rFonts w:ascii="Arial" w:hAnsi="Arial" w:cs="Arial"/>
                <w:b/>
              </w:rPr>
            </w:pPr>
            <w:r>
              <w:rPr>
                <w:rFonts w:ascii="Arial" w:hAnsi="Arial" w:cs="Arial"/>
                <w:b/>
                <w:lang w:val="el-GR"/>
              </w:rPr>
              <w:t>Καθαρές προσθήκες</w:t>
            </w:r>
          </w:p>
        </w:tc>
      </w:tr>
      <w:tr w:rsidR="008E06D6" w:rsidRPr="001745EE" w14:paraId="6F7F4A25" w14:textId="77777777" w:rsidTr="00BA326D">
        <w:trPr>
          <w:trHeight w:val="362"/>
        </w:trPr>
        <w:tc>
          <w:tcPr>
            <w:tcW w:w="3393"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1A63813B" w14:textId="02BB832F" w:rsidR="008E06D6" w:rsidRPr="00AC3A33" w:rsidRDefault="008E06D6" w:rsidP="008E06D6">
            <w:pPr>
              <w:pStyle w:val="ColorfulList-Accent11"/>
              <w:tabs>
                <w:tab w:val="left" w:pos="0"/>
                <w:tab w:val="left" w:pos="284"/>
              </w:tabs>
              <w:ind w:left="0" w:right="-90"/>
              <w:rPr>
                <w:rFonts w:ascii="Arial" w:hAnsi="Arial" w:cs="Arial"/>
                <w:b/>
                <w:i/>
                <w:lang w:val="el-GR"/>
              </w:rPr>
            </w:pPr>
            <w:r>
              <w:rPr>
                <w:rFonts w:ascii="Arial" w:hAnsi="Arial" w:cs="Arial"/>
                <w:b/>
                <w:lang w:val="el-GR"/>
              </w:rPr>
              <w:t>Συνδρομητές Συμβολαίου</w:t>
            </w:r>
          </w:p>
        </w:tc>
        <w:tc>
          <w:tcPr>
            <w:tcW w:w="1518"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7661855A" w14:textId="05D1E614" w:rsidR="008E06D6" w:rsidRPr="008F36CA" w:rsidRDefault="008E06D6" w:rsidP="008E06D6">
            <w:pPr>
              <w:pStyle w:val="ColorfulList-Accent11"/>
              <w:tabs>
                <w:tab w:val="left" w:pos="0"/>
                <w:tab w:val="left" w:pos="284"/>
              </w:tabs>
              <w:ind w:left="0" w:right="-90"/>
              <w:jc w:val="center"/>
              <w:rPr>
                <w:rFonts w:ascii="Arial" w:hAnsi="Arial" w:cs="Arial"/>
                <w:b/>
                <w:i/>
                <w:color w:val="C00000"/>
              </w:rPr>
            </w:pPr>
            <w:r w:rsidRPr="007C7973">
              <w:rPr>
                <w:rFonts w:ascii="Arial" w:hAnsi="Arial" w:cs="Arial"/>
                <w:b/>
                <w:bCs/>
              </w:rPr>
              <w:t>3</w:t>
            </w:r>
            <w:r w:rsidR="00C92EBF">
              <w:rPr>
                <w:rFonts w:ascii="Arial" w:hAnsi="Arial" w:cs="Arial"/>
                <w:b/>
                <w:bCs/>
              </w:rPr>
              <w:t>.</w:t>
            </w:r>
            <w:r w:rsidRPr="007C7973">
              <w:rPr>
                <w:rFonts w:ascii="Arial" w:hAnsi="Arial" w:cs="Arial"/>
                <w:b/>
                <w:bCs/>
              </w:rPr>
              <w:t>085</w:t>
            </w:r>
            <w:r w:rsidR="00C92EBF">
              <w:rPr>
                <w:rFonts w:ascii="Arial" w:hAnsi="Arial" w:cs="Arial"/>
                <w:b/>
                <w:bCs/>
              </w:rPr>
              <w:t>.</w:t>
            </w:r>
            <w:r w:rsidRPr="007C7973">
              <w:rPr>
                <w:rFonts w:ascii="Arial" w:hAnsi="Arial" w:cs="Arial"/>
                <w:b/>
                <w:bCs/>
              </w:rPr>
              <w:t>855</w:t>
            </w:r>
          </w:p>
        </w:tc>
        <w:tc>
          <w:tcPr>
            <w:tcW w:w="1314" w:type="dxa"/>
            <w:tcBorders>
              <w:top w:val="single" w:sz="2" w:space="0" w:color="BFBFBF" w:themeColor="background1" w:themeShade="BF"/>
            </w:tcBorders>
            <w:shd w:val="clear" w:color="auto" w:fill="FFFFFF" w:themeFill="background1"/>
            <w:vAlign w:val="center"/>
          </w:tcPr>
          <w:p w14:paraId="1645D47F" w14:textId="41040605" w:rsidR="008E06D6" w:rsidRPr="008F36CA" w:rsidRDefault="008E06D6" w:rsidP="008E06D6">
            <w:pPr>
              <w:pStyle w:val="ColorfulList-Accent11"/>
              <w:tabs>
                <w:tab w:val="left" w:pos="0"/>
                <w:tab w:val="left" w:pos="284"/>
              </w:tabs>
              <w:ind w:left="0" w:right="-90"/>
              <w:jc w:val="center"/>
              <w:rPr>
                <w:rFonts w:ascii="Arial" w:hAnsi="Arial" w:cs="Arial"/>
                <w:b/>
                <w:i/>
                <w:color w:val="C00000"/>
              </w:rPr>
            </w:pPr>
            <w:r w:rsidRPr="007C7973">
              <w:rPr>
                <w:rFonts w:ascii="Arial" w:hAnsi="Arial" w:cs="Arial"/>
                <w:b/>
                <w:bCs/>
              </w:rPr>
              <w:t>2</w:t>
            </w:r>
            <w:r w:rsidR="00C92EBF">
              <w:rPr>
                <w:rFonts w:ascii="Arial" w:hAnsi="Arial" w:cs="Arial"/>
                <w:b/>
                <w:bCs/>
              </w:rPr>
              <w:t>.</w:t>
            </w:r>
            <w:r w:rsidRPr="007C7973">
              <w:rPr>
                <w:rFonts w:ascii="Arial" w:hAnsi="Arial" w:cs="Arial"/>
                <w:b/>
                <w:bCs/>
              </w:rPr>
              <w:t>868</w:t>
            </w:r>
            <w:r w:rsidR="00C92EBF">
              <w:rPr>
                <w:rFonts w:ascii="Arial" w:hAnsi="Arial" w:cs="Arial"/>
                <w:b/>
                <w:bCs/>
              </w:rPr>
              <w:t>.</w:t>
            </w:r>
            <w:r w:rsidRPr="007C7973">
              <w:rPr>
                <w:rFonts w:ascii="Arial" w:hAnsi="Arial" w:cs="Arial"/>
                <w:b/>
                <w:bCs/>
              </w:rPr>
              <w:t>468</w:t>
            </w:r>
          </w:p>
        </w:tc>
        <w:tc>
          <w:tcPr>
            <w:tcW w:w="1517" w:type="dxa"/>
            <w:tcBorders>
              <w:top w:val="single" w:sz="2" w:space="0" w:color="BFBFBF" w:themeColor="background1" w:themeShade="BF"/>
              <w:right w:val="single" w:sz="2" w:space="0" w:color="BFBFBF" w:themeColor="background1" w:themeShade="BF"/>
            </w:tcBorders>
            <w:shd w:val="clear" w:color="auto" w:fill="FFFFFF" w:themeFill="background1"/>
            <w:vAlign w:val="center"/>
          </w:tcPr>
          <w:p w14:paraId="0FF5B6ED" w14:textId="50093DC3" w:rsidR="008E06D6" w:rsidRPr="008F36CA" w:rsidRDefault="008E06D6" w:rsidP="008E06D6">
            <w:pPr>
              <w:pStyle w:val="ColorfulList-Accent11"/>
              <w:tabs>
                <w:tab w:val="left" w:pos="0"/>
                <w:tab w:val="left" w:pos="284"/>
              </w:tabs>
              <w:ind w:left="0" w:right="-90"/>
              <w:jc w:val="center"/>
              <w:rPr>
                <w:rFonts w:ascii="Arial" w:hAnsi="Arial" w:cs="Arial"/>
                <w:b/>
                <w:bCs/>
                <w:color w:val="C00000"/>
              </w:rPr>
            </w:pPr>
            <w:r w:rsidRPr="007C7973">
              <w:rPr>
                <w:rFonts w:ascii="Arial" w:hAnsi="Arial" w:cs="Arial"/>
                <w:b/>
              </w:rPr>
              <w:t>+7</w:t>
            </w:r>
            <w:r w:rsidR="00C92EBF">
              <w:rPr>
                <w:rFonts w:ascii="Arial" w:hAnsi="Arial" w:cs="Arial"/>
                <w:b/>
              </w:rPr>
              <w:t>,</w:t>
            </w:r>
            <w:r w:rsidRPr="007C7973">
              <w:rPr>
                <w:rFonts w:ascii="Arial" w:hAnsi="Arial" w:cs="Arial"/>
                <w:b/>
                <w:bCs/>
              </w:rPr>
              <w:t>6</w:t>
            </w:r>
            <w:r w:rsidRPr="007C7973">
              <w:rPr>
                <w:rFonts w:ascii="Arial" w:hAnsi="Arial" w:cs="Arial"/>
                <w:b/>
              </w:rPr>
              <w:t>%</w:t>
            </w:r>
          </w:p>
        </w:tc>
        <w:tc>
          <w:tcPr>
            <w:tcW w:w="1455" w:type="dxa"/>
            <w:tcBorders>
              <w:top w:val="single" w:sz="2" w:space="0" w:color="BFBFBF" w:themeColor="background1" w:themeShade="BF"/>
              <w:left w:val="single" w:sz="2" w:space="0" w:color="BFBFBF" w:themeColor="background1" w:themeShade="BF"/>
            </w:tcBorders>
            <w:shd w:val="clear" w:color="auto" w:fill="FFFFFF" w:themeFill="background1"/>
            <w:vAlign w:val="center"/>
          </w:tcPr>
          <w:p w14:paraId="60774AB5" w14:textId="7468B26C" w:rsidR="008E06D6" w:rsidRPr="008F36CA" w:rsidRDefault="008E06D6" w:rsidP="008E06D6">
            <w:pPr>
              <w:pStyle w:val="ColorfulList-Accent11"/>
              <w:tabs>
                <w:tab w:val="left" w:pos="0"/>
                <w:tab w:val="left" w:pos="284"/>
              </w:tabs>
              <w:ind w:left="0" w:right="-90"/>
              <w:jc w:val="center"/>
              <w:rPr>
                <w:rFonts w:ascii="Arial" w:hAnsi="Arial" w:cs="Arial"/>
                <w:b/>
                <w:bCs/>
                <w:color w:val="C00000"/>
              </w:rPr>
            </w:pPr>
            <w:r w:rsidRPr="007C7973">
              <w:rPr>
                <w:rFonts w:ascii="Arial" w:hAnsi="Arial" w:cs="Arial"/>
                <w:b/>
                <w:bCs/>
                <w:i/>
                <w:iCs/>
                <w:lang w:val="el-GR"/>
              </w:rPr>
              <w:t>217</w:t>
            </w:r>
            <w:r w:rsidR="00C92EBF">
              <w:rPr>
                <w:rFonts w:ascii="Arial" w:hAnsi="Arial" w:cs="Arial"/>
                <w:b/>
                <w:bCs/>
                <w:i/>
                <w:iCs/>
                <w:lang w:val="el-GR"/>
              </w:rPr>
              <w:t>.</w:t>
            </w:r>
            <w:r w:rsidRPr="007C7973">
              <w:rPr>
                <w:rFonts w:ascii="Arial" w:hAnsi="Arial" w:cs="Arial"/>
                <w:b/>
                <w:bCs/>
                <w:i/>
                <w:iCs/>
                <w:lang w:val="el-GR"/>
              </w:rPr>
              <w:t>387</w:t>
            </w:r>
          </w:p>
        </w:tc>
        <w:tc>
          <w:tcPr>
            <w:tcW w:w="1293" w:type="dxa"/>
            <w:tcBorders>
              <w:top w:val="single" w:sz="2" w:space="0" w:color="BFBFBF" w:themeColor="background1" w:themeShade="BF"/>
            </w:tcBorders>
            <w:shd w:val="clear" w:color="auto" w:fill="FFFFFF" w:themeFill="background1"/>
            <w:vAlign w:val="center"/>
          </w:tcPr>
          <w:p w14:paraId="5B79ECD3" w14:textId="474FC674" w:rsidR="008E06D6" w:rsidRPr="008F36CA" w:rsidRDefault="008E06D6" w:rsidP="008E06D6">
            <w:pPr>
              <w:pStyle w:val="ColorfulList-Accent11"/>
              <w:tabs>
                <w:tab w:val="left" w:pos="0"/>
                <w:tab w:val="left" w:pos="284"/>
              </w:tabs>
              <w:ind w:left="0" w:right="-90"/>
              <w:jc w:val="center"/>
              <w:rPr>
                <w:rFonts w:ascii="Arial" w:hAnsi="Arial" w:cs="Arial"/>
                <w:b/>
                <w:bCs/>
                <w:i/>
                <w:iCs/>
                <w:color w:val="C00000"/>
              </w:rPr>
            </w:pPr>
            <w:r w:rsidRPr="007C7973">
              <w:rPr>
                <w:rFonts w:ascii="Arial" w:hAnsi="Arial" w:cs="Arial"/>
                <w:b/>
                <w:bCs/>
                <w:i/>
                <w:iCs/>
                <w:lang w:val="el-GR"/>
              </w:rPr>
              <w:t>50</w:t>
            </w:r>
            <w:r w:rsidR="00C92EBF">
              <w:rPr>
                <w:rFonts w:ascii="Arial" w:hAnsi="Arial" w:cs="Arial"/>
                <w:b/>
                <w:bCs/>
                <w:i/>
                <w:iCs/>
                <w:lang w:val="el-GR"/>
              </w:rPr>
              <w:t>.</w:t>
            </w:r>
            <w:r w:rsidRPr="007C7973">
              <w:rPr>
                <w:rFonts w:ascii="Arial" w:hAnsi="Arial" w:cs="Arial"/>
                <w:b/>
                <w:bCs/>
                <w:i/>
                <w:iCs/>
                <w:lang w:val="el-GR"/>
              </w:rPr>
              <w:t>506</w:t>
            </w:r>
          </w:p>
        </w:tc>
      </w:tr>
      <w:tr w:rsidR="008E06D6" w:rsidRPr="001745EE" w14:paraId="2B46C673" w14:textId="77777777" w:rsidTr="00BA326D">
        <w:trPr>
          <w:trHeight w:val="362"/>
        </w:trPr>
        <w:tc>
          <w:tcPr>
            <w:tcW w:w="3393" w:type="dxa"/>
            <w:tcBorders>
              <w:right w:val="single" w:sz="2" w:space="0" w:color="BFBFBF" w:themeColor="background1" w:themeShade="BF"/>
            </w:tcBorders>
            <w:shd w:val="clear" w:color="auto" w:fill="FFFFFF" w:themeFill="background1"/>
            <w:vAlign w:val="center"/>
          </w:tcPr>
          <w:p w14:paraId="014C5213" w14:textId="51B1FA69" w:rsidR="008E06D6" w:rsidRPr="00AC3A33" w:rsidRDefault="008E06D6" w:rsidP="008E06D6">
            <w:pPr>
              <w:pStyle w:val="ColorfulList-Accent11"/>
              <w:tabs>
                <w:tab w:val="left" w:pos="0"/>
                <w:tab w:val="left" w:pos="284"/>
              </w:tabs>
              <w:ind w:left="0" w:right="-90"/>
              <w:rPr>
                <w:rFonts w:ascii="Arial" w:hAnsi="Arial" w:cs="Arial"/>
                <w:b/>
                <w:i/>
                <w:lang w:val="el-GR"/>
              </w:rPr>
            </w:pPr>
            <w:r>
              <w:rPr>
                <w:rFonts w:ascii="Arial" w:hAnsi="Arial" w:cs="Arial"/>
                <w:b/>
                <w:lang w:val="el-GR"/>
              </w:rPr>
              <w:t>Συνδρομητές Καρτοκινητής</w:t>
            </w:r>
          </w:p>
        </w:tc>
        <w:tc>
          <w:tcPr>
            <w:tcW w:w="1518" w:type="dxa"/>
            <w:tcBorders>
              <w:left w:val="single" w:sz="2" w:space="0" w:color="BFBFBF" w:themeColor="background1" w:themeShade="BF"/>
              <w:bottom w:val="single" w:sz="2" w:space="0" w:color="BFBFBF" w:themeColor="background1" w:themeShade="BF"/>
            </w:tcBorders>
            <w:shd w:val="clear" w:color="auto" w:fill="FFFFFF" w:themeFill="background1"/>
            <w:vAlign w:val="center"/>
          </w:tcPr>
          <w:p w14:paraId="67F55447" w14:textId="300323EB" w:rsidR="008E06D6" w:rsidRPr="008F36CA" w:rsidRDefault="008E06D6" w:rsidP="008E06D6">
            <w:pPr>
              <w:pStyle w:val="ColorfulList-Accent11"/>
              <w:tabs>
                <w:tab w:val="left" w:pos="0"/>
                <w:tab w:val="left" w:pos="284"/>
              </w:tabs>
              <w:ind w:left="0" w:right="-90"/>
              <w:jc w:val="center"/>
              <w:rPr>
                <w:rFonts w:ascii="Arial" w:hAnsi="Arial" w:cs="Arial"/>
                <w:b/>
                <w:i/>
                <w:color w:val="C00000"/>
              </w:rPr>
            </w:pPr>
            <w:r w:rsidRPr="007C7973">
              <w:rPr>
                <w:rFonts w:ascii="Arial" w:hAnsi="Arial" w:cs="Arial"/>
                <w:b/>
                <w:bCs/>
              </w:rPr>
              <w:t>3</w:t>
            </w:r>
            <w:r w:rsidR="00C92EBF">
              <w:rPr>
                <w:rFonts w:ascii="Arial" w:hAnsi="Arial" w:cs="Arial"/>
                <w:b/>
                <w:bCs/>
              </w:rPr>
              <w:t>.</w:t>
            </w:r>
            <w:r w:rsidRPr="007C7973">
              <w:rPr>
                <w:rFonts w:ascii="Arial" w:hAnsi="Arial" w:cs="Arial"/>
                <w:b/>
                <w:bCs/>
              </w:rPr>
              <w:t>969</w:t>
            </w:r>
            <w:r w:rsidR="00C92EBF">
              <w:rPr>
                <w:rFonts w:ascii="Arial" w:hAnsi="Arial" w:cs="Arial"/>
                <w:b/>
                <w:bCs/>
              </w:rPr>
              <w:t>.</w:t>
            </w:r>
            <w:r w:rsidRPr="007C7973">
              <w:rPr>
                <w:rFonts w:ascii="Arial" w:hAnsi="Arial" w:cs="Arial"/>
                <w:b/>
                <w:bCs/>
              </w:rPr>
              <w:t>460</w:t>
            </w:r>
          </w:p>
        </w:tc>
        <w:tc>
          <w:tcPr>
            <w:tcW w:w="1314" w:type="dxa"/>
            <w:tcBorders>
              <w:bottom w:val="single" w:sz="2" w:space="0" w:color="BFBFBF" w:themeColor="background1" w:themeShade="BF"/>
            </w:tcBorders>
            <w:shd w:val="clear" w:color="auto" w:fill="FFFFFF" w:themeFill="background1"/>
            <w:vAlign w:val="center"/>
          </w:tcPr>
          <w:p w14:paraId="49AF1C88" w14:textId="11D86677" w:rsidR="008E06D6" w:rsidRPr="008F36CA" w:rsidRDefault="008E06D6" w:rsidP="008E06D6">
            <w:pPr>
              <w:pStyle w:val="ColorfulList-Accent11"/>
              <w:tabs>
                <w:tab w:val="left" w:pos="0"/>
                <w:tab w:val="left" w:pos="284"/>
              </w:tabs>
              <w:ind w:left="0" w:right="-90"/>
              <w:jc w:val="center"/>
              <w:rPr>
                <w:rFonts w:ascii="Arial" w:hAnsi="Arial" w:cs="Arial"/>
                <w:b/>
                <w:i/>
                <w:color w:val="C00000"/>
              </w:rPr>
            </w:pPr>
            <w:r w:rsidRPr="007C7973">
              <w:rPr>
                <w:rFonts w:ascii="Arial" w:hAnsi="Arial" w:cs="Arial"/>
                <w:b/>
                <w:bCs/>
              </w:rPr>
              <w:t>4</w:t>
            </w:r>
            <w:r w:rsidR="00C92EBF">
              <w:rPr>
                <w:rFonts w:ascii="Arial" w:hAnsi="Arial" w:cs="Arial"/>
                <w:b/>
                <w:bCs/>
              </w:rPr>
              <w:t>.</w:t>
            </w:r>
            <w:r w:rsidRPr="007C7973">
              <w:rPr>
                <w:rFonts w:ascii="Arial" w:hAnsi="Arial" w:cs="Arial"/>
                <w:b/>
                <w:bCs/>
              </w:rPr>
              <w:t>237</w:t>
            </w:r>
            <w:r w:rsidR="00C92EBF">
              <w:rPr>
                <w:rFonts w:ascii="Arial" w:hAnsi="Arial" w:cs="Arial"/>
                <w:b/>
                <w:bCs/>
              </w:rPr>
              <w:t>.</w:t>
            </w:r>
            <w:r w:rsidRPr="007C7973">
              <w:rPr>
                <w:rFonts w:ascii="Arial" w:hAnsi="Arial" w:cs="Arial"/>
                <w:b/>
                <w:bCs/>
              </w:rPr>
              <w:t>733</w:t>
            </w:r>
          </w:p>
        </w:tc>
        <w:tc>
          <w:tcPr>
            <w:tcW w:w="1517" w:type="dxa"/>
            <w:tcBorders>
              <w:bottom w:val="single" w:sz="2" w:space="0" w:color="BFBFBF" w:themeColor="background1" w:themeShade="BF"/>
              <w:right w:val="single" w:sz="2" w:space="0" w:color="BFBFBF" w:themeColor="background1" w:themeShade="BF"/>
            </w:tcBorders>
            <w:shd w:val="clear" w:color="auto" w:fill="FFFFFF" w:themeFill="background1"/>
            <w:vAlign w:val="center"/>
          </w:tcPr>
          <w:p w14:paraId="5DE6728F" w14:textId="681FB469" w:rsidR="008E06D6" w:rsidRPr="008F36CA" w:rsidRDefault="008E06D6" w:rsidP="008E06D6">
            <w:pPr>
              <w:pStyle w:val="ColorfulList-Accent11"/>
              <w:tabs>
                <w:tab w:val="left" w:pos="0"/>
                <w:tab w:val="left" w:pos="284"/>
              </w:tabs>
              <w:ind w:left="0" w:right="-90"/>
              <w:jc w:val="center"/>
              <w:rPr>
                <w:rFonts w:ascii="Arial" w:hAnsi="Arial" w:cs="Arial"/>
                <w:b/>
                <w:bCs/>
                <w:color w:val="C00000"/>
              </w:rPr>
            </w:pPr>
            <w:r w:rsidRPr="007C7973">
              <w:rPr>
                <w:rFonts w:ascii="Arial" w:hAnsi="Arial" w:cs="Arial"/>
                <w:b/>
              </w:rPr>
              <w:t>-</w:t>
            </w:r>
            <w:r w:rsidRPr="007C7973">
              <w:rPr>
                <w:rFonts w:ascii="Arial" w:hAnsi="Arial" w:cs="Arial"/>
                <w:b/>
                <w:bCs/>
              </w:rPr>
              <w:t>6</w:t>
            </w:r>
            <w:r w:rsidR="00C92EBF">
              <w:rPr>
                <w:rFonts w:ascii="Arial" w:hAnsi="Arial" w:cs="Arial"/>
                <w:b/>
                <w:bCs/>
              </w:rPr>
              <w:t>,</w:t>
            </w:r>
            <w:r w:rsidRPr="007C7973">
              <w:rPr>
                <w:rFonts w:ascii="Arial" w:hAnsi="Arial" w:cs="Arial"/>
                <w:b/>
                <w:bCs/>
              </w:rPr>
              <w:t>3</w:t>
            </w:r>
            <w:r w:rsidRPr="007C7973">
              <w:rPr>
                <w:rFonts w:ascii="Arial" w:hAnsi="Arial" w:cs="Arial"/>
                <w:b/>
              </w:rPr>
              <w:t>%</w:t>
            </w:r>
          </w:p>
        </w:tc>
        <w:tc>
          <w:tcPr>
            <w:tcW w:w="1455" w:type="dxa"/>
            <w:tcBorders>
              <w:left w:val="single" w:sz="2" w:space="0" w:color="BFBFBF" w:themeColor="background1" w:themeShade="BF"/>
            </w:tcBorders>
            <w:shd w:val="clear" w:color="auto" w:fill="FFFFFF" w:themeFill="background1"/>
            <w:vAlign w:val="center"/>
          </w:tcPr>
          <w:p w14:paraId="6CC5BA07" w14:textId="4E7CDF25" w:rsidR="008E06D6" w:rsidRPr="00D30350" w:rsidRDefault="00112FB6" w:rsidP="008E06D6">
            <w:pPr>
              <w:pStyle w:val="ColorfulList-Accent11"/>
              <w:tabs>
                <w:tab w:val="left" w:pos="0"/>
                <w:tab w:val="left" w:pos="284"/>
              </w:tabs>
              <w:ind w:left="0" w:right="-90"/>
              <w:jc w:val="center"/>
              <w:rPr>
                <w:rFonts w:ascii="Arial" w:hAnsi="Arial" w:cs="Arial"/>
                <w:b/>
                <w:color w:val="C00000"/>
                <w:lang w:val="el-GR"/>
              </w:rPr>
            </w:pPr>
            <w:r>
              <w:rPr>
                <w:rFonts w:ascii="Arial" w:hAnsi="Arial" w:cs="Arial"/>
                <w:b/>
                <w:bCs/>
                <w:i/>
                <w:iCs/>
                <w:lang w:val="el-GR"/>
              </w:rPr>
              <w:t>(</w:t>
            </w:r>
            <w:r w:rsidR="008E06D6" w:rsidRPr="007C7973">
              <w:rPr>
                <w:rFonts w:ascii="Arial" w:hAnsi="Arial" w:cs="Arial"/>
                <w:b/>
                <w:bCs/>
                <w:i/>
                <w:iCs/>
                <w:lang w:val="el-GR"/>
              </w:rPr>
              <w:t>268</w:t>
            </w:r>
            <w:r w:rsidR="00C92EBF">
              <w:rPr>
                <w:rFonts w:ascii="Arial" w:hAnsi="Arial" w:cs="Arial"/>
                <w:b/>
                <w:bCs/>
                <w:i/>
                <w:iCs/>
                <w:lang w:val="el-GR"/>
              </w:rPr>
              <w:t>.</w:t>
            </w:r>
            <w:r w:rsidR="008E06D6" w:rsidRPr="007C7973">
              <w:rPr>
                <w:rFonts w:ascii="Arial" w:hAnsi="Arial" w:cs="Arial"/>
                <w:b/>
                <w:bCs/>
                <w:i/>
                <w:iCs/>
                <w:lang w:val="el-GR"/>
              </w:rPr>
              <w:t>273</w:t>
            </w:r>
            <w:r>
              <w:rPr>
                <w:rFonts w:ascii="Arial" w:hAnsi="Arial" w:cs="Arial"/>
                <w:b/>
                <w:bCs/>
                <w:i/>
                <w:iCs/>
                <w:lang w:val="el-GR"/>
              </w:rPr>
              <w:t>)</w:t>
            </w:r>
          </w:p>
        </w:tc>
        <w:tc>
          <w:tcPr>
            <w:tcW w:w="1293" w:type="dxa"/>
            <w:shd w:val="clear" w:color="auto" w:fill="FFFFFF" w:themeFill="background1"/>
            <w:vAlign w:val="center"/>
          </w:tcPr>
          <w:p w14:paraId="787E95D3" w14:textId="3E72A07A" w:rsidR="008E06D6" w:rsidRPr="00D30350" w:rsidRDefault="00B770D7" w:rsidP="008E06D6">
            <w:pPr>
              <w:pStyle w:val="ColorfulList-Accent11"/>
              <w:tabs>
                <w:tab w:val="left" w:pos="0"/>
                <w:tab w:val="left" w:pos="284"/>
              </w:tabs>
              <w:ind w:left="0" w:right="-90"/>
              <w:jc w:val="center"/>
              <w:rPr>
                <w:rFonts w:ascii="Arial" w:hAnsi="Arial" w:cs="Arial"/>
                <w:b/>
                <w:i/>
                <w:color w:val="C00000"/>
                <w:lang w:val="el-GR"/>
              </w:rPr>
            </w:pPr>
            <w:r>
              <w:rPr>
                <w:rFonts w:ascii="Arial" w:hAnsi="Arial" w:cs="Arial"/>
                <w:b/>
                <w:bCs/>
                <w:i/>
                <w:iCs/>
                <w:lang w:val="el-GR"/>
              </w:rPr>
              <w:t>(</w:t>
            </w:r>
            <w:r w:rsidR="008E06D6" w:rsidRPr="007C7973">
              <w:rPr>
                <w:rFonts w:ascii="Arial" w:hAnsi="Arial" w:cs="Arial"/>
                <w:b/>
                <w:bCs/>
                <w:i/>
                <w:iCs/>
                <w:lang w:val="el-GR"/>
              </w:rPr>
              <w:t>72</w:t>
            </w:r>
            <w:r w:rsidR="00C92EBF">
              <w:rPr>
                <w:rFonts w:ascii="Arial" w:hAnsi="Arial" w:cs="Arial"/>
                <w:b/>
                <w:bCs/>
                <w:i/>
                <w:iCs/>
                <w:lang w:val="el-GR"/>
              </w:rPr>
              <w:t>.</w:t>
            </w:r>
            <w:r w:rsidR="008E06D6" w:rsidRPr="007C7973">
              <w:rPr>
                <w:rFonts w:ascii="Arial" w:hAnsi="Arial" w:cs="Arial"/>
                <w:b/>
                <w:bCs/>
                <w:i/>
                <w:iCs/>
                <w:lang w:val="el-GR"/>
              </w:rPr>
              <w:t>134</w:t>
            </w:r>
            <w:r>
              <w:rPr>
                <w:rFonts w:ascii="Arial" w:hAnsi="Arial" w:cs="Arial"/>
                <w:b/>
                <w:bCs/>
                <w:i/>
                <w:iCs/>
                <w:lang w:val="el-GR"/>
              </w:rPr>
              <w:t>)</w:t>
            </w:r>
          </w:p>
        </w:tc>
      </w:tr>
    </w:tbl>
    <w:p w14:paraId="2B8A8D44" w14:textId="77777777" w:rsidR="00AC3A33" w:rsidRPr="00FB20CB" w:rsidRDefault="00AC3A33" w:rsidP="003367AD">
      <w:pPr>
        <w:rPr>
          <w:rFonts w:ascii="Arial" w:hAnsi="Arial" w:cs="Arial"/>
          <w:i/>
          <w:sz w:val="16"/>
          <w:szCs w:val="16"/>
        </w:rPr>
      </w:pPr>
    </w:p>
    <w:p w14:paraId="069D206C" w14:textId="331D1C64" w:rsidR="00382284" w:rsidRPr="006B1C75" w:rsidRDefault="00E13CCE" w:rsidP="0012566B">
      <w:pPr>
        <w:spacing w:line="276" w:lineRule="auto"/>
        <w:jc w:val="both"/>
        <w:rPr>
          <w:rFonts w:ascii="Arial" w:hAnsi="Arial" w:cs="Arial"/>
        </w:rPr>
      </w:pPr>
      <w:r w:rsidRPr="0012566B">
        <w:rPr>
          <w:rFonts w:ascii="Arial" w:hAnsi="Arial" w:cs="Arial"/>
          <w:b/>
          <w:bCs/>
          <w:lang w:val="en-US"/>
        </w:rPr>
        <w:t>FTTH</w:t>
      </w:r>
      <w:r w:rsidRPr="002C6223">
        <w:rPr>
          <w:rFonts w:ascii="Arial" w:hAnsi="Arial" w:cs="Arial"/>
        </w:rPr>
        <w:t xml:space="preserve">: </w:t>
      </w:r>
      <w:r w:rsidR="007B4733">
        <w:rPr>
          <w:rFonts w:ascii="Arial" w:hAnsi="Arial" w:cs="Arial"/>
        </w:rPr>
        <w:t>Για ακόμα ένα τρίμηνο, ο</w:t>
      </w:r>
      <w:r w:rsidR="00C10CDB" w:rsidRPr="002C6223">
        <w:rPr>
          <w:rFonts w:ascii="Arial" w:hAnsi="Arial" w:cs="Arial"/>
        </w:rPr>
        <w:t xml:space="preserve"> ΟΤΕ συνέχισε </w:t>
      </w:r>
      <w:r w:rsidR="007B4733">
        <w:rPr>
          <w:rFonts w:ascii="Arial" w:hAnsi="Arial" w:cs="Arial"/>
        </w:rPr>
        <w:t xml:space="preserve">να ενισχύει δυναμικά την πελατειακή βάση του </w:t>
      </w:r>
      <w:r w:rsidR="007B4733">
        <w:rPr>
          <w:rFonts w:ascii="Arial" w:hAnsi="Arial" w:cs="Arial"/>
          <w:lang w:val="en-US"/>
        </w:rPr>
        <w:t>FTTH</w:t>
      </w:r>
      <w:r w:rsidR="007B4733">
        <w:rPr>
          <w:rFonts w:ascii="Arial" w:hAnsi="Arial" w:cs="Arial"/>
        </w:rPr>
        <w:t>,</w:t>
      </w:r>
      <w:r w:rsidR="00C10CDB" w:rsidRPr="002C6223">
        <w:rPr>
          <w:rFonts w:ascii="Arial" w:hAnsi="Arial" w:cs="Arial"/>
        </w:rPr>
        <w:t xml:space="preserve"> καταγράφοντας</w:t>
      </w:r>
      <w:r w:rsidR="00B250CA" w:rsidRPr="002C6223">
        <w:rPr>
          <w:rFonts w:ascii="Arial" w:hAnsi="Arial" w:cs="Arial"/>
        </w:rPr>
        <w:t xml:space="preserve"> </w:t>
      </w:r>
      <w:r w:rsidR="009B2929" w:rsidRPr="002C6223">
        <w:rPr>
          <w:rFonts w:ascii="Arial" w:hAnsi="Arial" w:cs="Arial"/>
        </w:rPr>
        <w:t>ρεκόρ</w:t>
      </w:r>
      <w:r w:rsidR="005D549F" w:rsidRPr="002C6223">
        <w:rPr>
          <w:rFonts w:ascii="Arial" w:hAnsi="Arial" w:cs="Arial"/>
        </w:rPr>
        <w:t xml:space="preserve"> καθαρ</w:t>
      </w:r>
      <w:r w:rsidR="007B4733">
        <w:rPr>
          <w:rFonts w:ascii="Arial" w:hAnsi="Arial" w:cs="Arial"/>
        </w:rPr>
        <w:t>ών</w:t>
      </w:r>
      <w:r w:rsidR="005D549F" w:rsidRPr="002C6223">
        <w:rPr>
          <w:rFonts w:ascii="Arial" w:hAnsi="Arial" w:cs="Arial"/>
        </w:rPr>
        <w:t xml:space="preserve"> συνδέσε</w:t>
      </w:r>
      <w:r w:rsidR="007B4733">
        <w:rPr>
          <w:rFonts w:ascii="Arial" w:hAnsi="Arial" w:cs="Arial"/>
        </w:rPr>
        <w:t>ων</w:t>
      </w:r>
      <w:r w:rsidR="00F03E09">
        <w:rPr>
          <w:rFonts w:ascii="Arial" w:hAnsi="Arial" w:cs="Arial"/>
        </w:rPr>
        <w:t xml:space="preserve"> </w:t>
      </w:r>
      <w:r w:rsidR="00F03E09" w:rsidRPr="00565841">
        <w:rPr>
          <w:rFonts w:ascii="Arial" w:hAnsi="Arial" w:cs="Arial"/>
        </w:rPr>
        <w:t xml:space="preserve">άνω των </w:t>
      </w:r>
      <w:r w:rsidR="00827701" w:rsidRPr="00565841">
        <w:rPr>
          <w:rFonts w:ascii="Arial" w:hAnsi="Arial" w:cs="Arial"/>
        </w:rPr>
        <w:t>5</w:t>
      </w:r>
      <w:r w:rsidR="00273102" w:rsidRPr="00565841">
        <w:rPr>
          <w:rFonts w:ascii="Arial" w:hAnsi="Arial" w:cs="Arial"/>
        </w:rPr>
        <w:t>8 χιλιάδ</w:t>
      </w:r>
      <w:r w:rsidR="00F03E09" w:rsidRPr="00565841">
        <w:rPr>
          <w:rFonts w:ascii="Arial" w:hAnsi="Arial" w:cs="Arial"/>
        </w:rPr>
        <w:t>ων</w:t>
      </w:r>
      <w:r w:rsidR="00A636DD" w:rsidRPr="002C6223">
        <w:rPr>
          <w:rFonts w:ascii="Arial" w:hAnsi="Arial" w:cs="Arial"/>
        </w:rPr>
        <w:t>.</w:t>
      </w:r>
      <w:r w:rsidR="00D043EA" w:rsidRPr="002C6223">
        <w:rPr>
          <w:rFonts w:ascii="Arial" w:hAnsi="Arial" w:cs="Arial"/>
        </w:rPr>
        <w:t xml:space="preserve"> </w:t>
      </w:r>
      <w:r w:rsidR="005F4129" w:rsidRPr="002C6223">
        <w:rPr>
          <w:rFonts w:ascii="Arial" w:hAnsi="Arial" w:cs="Arial"/>
        </w:rPr>
        <w:t xml:space="preserve">Οι συνδρομητές </w:t>
      </w:r>
      <w:r w:rsidR="005F4129" w:rsidRPr="0012566B">
        <w:rPr>
          <w:rFonts w:ascii="Arial" w:hAnsi="Arial" w:cs="Arial"/>
          <w:lang w:val="en-US"/>
        </w:rPr>
        <w:t>FTTH</w:t>
      </w:r>
      <w:r w:rsidR="005F4129" w:rsidRPr="002C6223">
        <w:rPr>
          <w:rFonts w:ascii="Arial" w:hAnsi="Arial" w:cs="Arial"/>
        </w:rPr>
        <w:t xml:space="preserve"> ανέρχονται σε </w:t>
      </w:r>
      <w:r w:rsidR="00594B88">
        <w:rPr>
          <w:rFonts w:ascii="Arial" w:hAnsi="Arial" w:cs="Arial"/>
        </w:rPr>
        <w:t>625</w:t>
      </w:r>
      <w:r w:rsidR="005F4129" w:rsidRPr="002C6223">
        <w:rPr>
          <w:rFonts w:ascii="Arial" w:hAnsi="Arial" w:cs="Arial"/>
        </w:rPr>
        <w:t xml:space="preserve"> χιλιάδες, αντιπροσωπεύοντας το </w:t>
      </w:r>
      <w:r w:rsidR="00AD6595" w:rsidRPr="002C6223">
        <w:rPr>
          <w:rFonts w:ascii="Arial" w:hAnsi="Arial" w:cs="Arial"/>
        </w:rPr>
        <w:t>2</w:t>
      </w:r>
      <w:r w:rsidR="00846CC4" w:rsidRPr="00846CC4">
        <w:rPr>
          <w:rFonts w:ascii="Arial" w:hAnsi="Arial" w:cs="Arial"/>
        </w:rPr>
        <w:t>6</w:t>
      </w:r>
      <w:r w:rsidR="005F4129" w:rsidRPr="002C6223">
        <w:rPr>
          <w:rFonts w:ascii="Arial" w:hAnsi="Arial" w:cs="Arial"/>
        </w:rPr>
        <w:t>% των συνολικών ευρυζωνικών συνδέσεων</w:t>
      </w:r>
      <w:r w:rsidR="004807F5" w:rsidRPr="002C6223">
        <w:rPr>
          <w:rFonts w:ascii="Arial" w:hAnsi="Arial" w:cs="Arial"/>
        </w:rPr>
        <w:t xml:space="preserve">, </w:t>
      </w:r>
      <w:r w:rsidR="00781F8F" w:rsidRPr="002C6223">
        <w:rPr>
          <w:rFonts w:ascii="Arial" w:hAnsi="Arial" w:cs="Arial"/>
        </w:rPr>
        <w:t>σε σχέση με</w:t>
      </w:r>
      <w:r w:rsidR="00827701" w:rsidRPr="002C6223">
        <w:rPr>
          <w:rFonts w:ascii="Arial" w:hAnsi="Arial" w:cs="Arial"/>
        </w:rPr>
        <w:t xml:space="preserve"> 1</w:t>
      </w:r>
      <w:r w:rsidR="00846CC4" w:rsidRPr="00846CC4">
        <w:rPr>
          <w:rFonts w:ascii="Arial" w:hAnsi="Arial" w:cs="Arial"/>
        </w:rPr>
        <w:t>8</w:t>
      </w:r>
      <w:r w:rsidR="00827701" w:rsidRPr="002C6223">
        <w:rPr>
          <w:rFonts w:ascii="Arial" w:hAnsi="Arial" w:cs="Arial"/>
        </w:rPr>
        <w:t xml:space="preserve">% ένα χρόνο πριν. </w:t>
      </w:r>
      <w:r w:rsidR="009B2929" w:rsidRPr="005C787B">
        <w:rPr>
          <w:rFonts w:ascii="Arial" w:hAnsi="Arial" w:cs="Arial"/>
        </w:rPr>
        <w:t>Τ</w:t>
      </w:r>
      <w:r w:rsidR="004807F5" w:rsidRPr="005C787B">
        <w:rPr>
          <w:rFonts w:ascii="Arial" w:hAnsi="Arial" w:cs="Arial"/>
        </w:rPr>
        <w:t>ο</w:t>
      </w:r>
      <w:r w:rsidR="005F4129" w:rsidRPr="005C787B">
        <w:rPr>
          <w:rFonts w:ascii="Arial" w:hAnsi="Arial" w:cs="Arial"/>
        </w:rPr>
        <w:t xml:space="preserve"> ποσοστό διείσδυσης </w:t>
      </w:r>
      <w:r w:rsidR="00F93590" w:rsidRPr="005C787B">
        <w:rPr>
          <w:rFonts w:ascii="Arial" w:hAnsi="Arial" w:cs="Arial"/>
        </w:rPr>
        <w:t xml:space="preserve">στους </w:t>
      </w:r>
      <w:r w:rsidR="005F4129" w:rsidRPr="005C787B">
        <w:rPr>
          <w:rFonts w:ascii="Arial" w:hAnsi="Arial" w:cs="Arial"/>
        </w:rPr>
        <w:t>πελ</w:t>
      </w:r>
      <w:r w:rsidR="00F93590" w:rsidRPr="005C787B">
        <w:rPr>
          <w:rFonts w:ascii="Arial" w:hAnsi="Arial" w:cs="Arial"/>
        </w:rPr>
        <w:t>άτες</w:t>
      </w:r>
      <w:r w:rsidR="005F4129" w:rsidRPr="005C787B">
        <w:rPr>
          <w:rFonts w:ascii="Arial" w:hAnsi="Arial" w:cs="Arial"/>
        </w:rPr>
        <w:t xml:space="preserve"> ΟΤΕ που έχουν πρόσβαση στην υποδομή </w:t>
      </w:r>
      <w:r w:rsidR="005F4129" w:rsidRPr="0012566B">
        <w:rPr>
          <w:rFonts w:ascii="Arial" w:hAnsi="Arial" w:cs="Arial"/>
          <w:lang w:val="en-US"/>
        </w:rPr>
        <w:t>FTTH</w:t>
      </w:r>
      <w:r w:rsidR="008242BD" w:rsidRPr="005C787B">
        <w:rPr>
          <w:rFonts w:ascii="Arial" w:hAnsi="Arial" w:cs="Arial"/>
        </w:rPr>
        <w:t xml:space="preserve"> </w:t>
      </w:r>
      <w:r w:rsidR="005F4129" w:rsidRPr="005C787B">
        <w:rPr>
          <w:rFonts w:ascii="Arial" w:hAnsi="Arial" w:cs="Arial"/>
        </w:rPr>
        <w:t xml:space="preserve">έχει ήδη </w:t>
      </w:r>
      <w:r w:rsidR="00B67127" w:rsidRPr="005C787B">
        <w:rPr>
          <w:rFonts w:ascii="Arial" w:hAnsi="Arial" w:cs="Arial"/>
        </w:rPr>
        <w:t xml:space="preserve">φτάσει </w:t>
      </w:r>
      <w:r w:rsidR="005F4129" w:rsidRPr="005C787B">
        <w:rPr>
          <w:rFonts w:ascii="Arial" w:hAnsi="Arial" w:cs="Arial"/>
        </w:rPr>
        <w:t xml:space="preserve">το </w:t>
      </w:r>
      <w:r w:rsidR="00045DEF" w:rsidRPr="00045DEF">
        <w:rPr>
          <w:rFonts w:ascii="Arial" w:hAnsi="Arial" w:cs="Arial"/>
        </w:rPr>
        <w:t>53</w:t>
      </w:r>
      <w:r w:rsidR="005F4129" w:rsidRPr="005C787B">
        <w:rPr>
          <w:rFonts w:ascii="Arial" w:hAnsi="Arial" w:cs="Arial"/>
        </w:rPr>
        <w:t>%</w:t>
      </w:r>
      <w:r w:rsidR="004E6701">
        <w:rPr>
          <w:rFonts w:ascii="Arial" w:hAnsi="Arial" w:cs="Arial"/>
        </w:rPr>
        <w:t>.</w:t>
      </w:r>
      <w:r w:rsidR="00E933A2" w:rsidRPr="005C787B">
        <w:rPr>
          <w:rFonts w:ascii="Arial" w:hAnsi="Arial" w:cs="Arial"/>
        </w:rPr>
        <w:t xml:space="preserve"> </w:t>
      </w:r>
      <w:r w:rsidR="005C2C3E" w:rsidRPr="005C787B">
        <w:rPr>
          <w:rFonts w:ascii="Arial" w:hAnsi="Arial" w:cs="Arial"/>
        </w:rPr>
        <w:t xml:space="preserve">Η αυξανόμενη διείσδυση του </w:t>
      </w:r>
      <w:r w:rsidR="005C2C3E" w:rsidRPr="0012566B">
        <w:rPr>
          <w:rFonts w:ascii="Arial" w:hAnsi="Arial" w:cs="Arial"/>
          <w:lang w:val="en-US"/>
        </w:rPr>
        <w:t>FTTH</w:t>
      </w:r>
      <w:r w:rsidR="005C2C3E" w:rsidRPr="005C787B">
        <w:rPr>
          <w:rFonts w:ascii="Arial" w:hAnsi="Arial" w:cs="Arial"/>
        </w:rPr>
        <w:t xml:space="preserve"> </w:t>
      </w:r>
      <w:bookmarkStart w:id="2" w:name="_Hlk221103584"/>
      <w:r w:rsidR="00F60BA1" w:rsidRPr="005C787B">
        <w:rPr>
          <w:rFonts w:ascii="Arial" w:hAnsi="Arial" w:cs="Arial"/>
        </w:rPr>
        <w:t>ενισχύ</w:t>
      </w:r>
      <w:r w:rsidR="00822AC4">
        <w:rPr>
          <w:rFonts w:ascii="Arial" w:hAnsi="Arial" w:cs="Arial"/>
        </w:rPr>
        <w:t>θηκε</w:t>
      </w:r>
      <w:r w:rsidR="00F60BA1" w:rsidRPr="005C787B">
        <w:rPr>
          <w:rFonts w:ascii="Arial" w:hAnsi="Arial" w:cs="Arial"/>
        </w:rPr>
        <w:t xml:space="preserve"> από </w:t>
      </w:r>
      <w:r w:rsidR="00E819A9" w:rsidRPr="005C787B">
        <w:rPr>
          <w:rFonts w:ascii="Arial" w:hAnsi="Arial" w:cs="Arial"/>
        </w:rPr>
        <w:t>τη συνεχιζόμενη ζήτηση για υπερυψηλές και αξιόπιστες ταχύτητες</w:t>
      </w:r>
      <w:r w:rsidR="00F60BA1" w:rsidRPr="005C787B">
        <w:rPr>
          <w:rFonts w:ascii="Arial" w:hAnsi="Arial" w:cs="Arial"/>
        </w:rPr>
        <w:t>, καθώς και τη</w:t>
      </w:r>
      <w:r w:rsidR="00E819A9" w:rsidRPr="005C787B">
        <w:rPr>
          <w:rFonts w:ascii="Arial" w:hAnsi="Arial" w:cs="Arial"/>
        </w:rPr>
        <w:t xml:space="preserve">ν </w:t>
      </w:r>
      <w:r w:rsidR="00F60BA1" w:rsidRPr="005C787B">
        <w:rPr>
          <w:rFonts w:ascii="Arial" w:hAnsi="Arial" w:cs="Arial"/>
        </w:rPr>
        <w:t xml:space="preserve">συνεχιζόμενη επέκταση </w:t>
      </w:r>
      <w:r w:rsidR="00A23601">
        <w:rPr>
          <w:rFonts w:ascii="Arial" w:hAnsi="Arial" w:cs="Arial"/>
        </w:rPr>
        <w:t xml:space="preserve">της </w:t>
      </w:r>
      <w:r w:rsidR="005C2C3E" w:rsidRPr="005C787B">
        <w:rPr>
          <w:rFonts w:ascii="Arial" w:hAnsi="Arial" w:cs="Arial"/>
        </w:rPr>
        <w:t>υποδομής</w:t>
      </w:r>
      <w:r w:rsidR="00F60BA1" w:rsidRPr="005C787B">
        <w:rPr>
          <w:rFonts w:ascii="Arial" w:hAnsi="Arial" w:cs="Arial"/>
        </w:rPr>
        <w:t xml:space="preserve"> </w:t>
      </w:r>
      <w:r w:rsidR="00F60BA1" w:rsidRPr="0012566B">
        <w:rPr>
          <w:rFonts w:ascii="Arial" w:hAnsi="Arial" w:cs="Arial"/>
          <w:lang w:val="en-US"/>
        </w:rPr>
        <w:t>FTTH</w:t>
      </w:r>
      <w:r w:rsidR="00F60BA1" w:rsidRPr="005C787B">
        <w:rPr>
          <w:rFonts w:ascii="Arial" w:hAnsi="Arial" w:cs="Arial"/>
        </w:rPr>
        <w:t xml:space="preserve">. </w:t>
      </w:r>
      <w:bookmarkEnd w:id="2"/>
      <w:r w:rsidR="00F60BA1" w:rsidRPr="002C6223">
        <w:rPr>
          <w:rFonts w:ascii="Arial" w:hAnsi="Arial" w:cs="Arial"/>
        </w:rPr>
        <w:t xml:space="preserve">Επιπλέον, το </w:t>
      </w:r>
      <w:r w:rsidR="0012566B" w:rsidRPr="002C6223">
        <w:rPr>
          <w:rFonts w:ascii="Arial" w:hAnsi="Arial" w:cs="Arial"/>
        </w:rPr>
        <w:t xml:space="preserve">νέο ρυθμιστικό πλαίσιο </w:t>
      </w:r>
      <w:r w:rsidR="00E7518C">
        <w:rPr>
          <w:rFonts w:ascii="Arial" w:hAnsi="Arial" w:cs="Arial"/>
        </w:rPr>
        <w:t>παύσης πωλήσεων</w:t>
      </w:r>
      <w:r w:rsidR="0012566B" w:rsidRPr="002C6223">
        <w:rPr>
          <w:rFonts w:ascii="Arial" w:hAnsi="Arial" w:cs="Arial"/>
        </w:rPr>
        <w:t xml:space="preserve"> </w:t>
      </w:r>
      <w:r w:rsidR="0012566B" w:rsidRPr="0012566B">
        <w:rPr>
          <w:rFonts w:ascii="Arial" w:hAnsi="Arial" w:cs="Arial"/>
          <w:lang w:val="en-US"/>
        </w:rPr>
        <w:t>FTTC</w:t>
      </w:r>
      <w:r w:rsidR="0012566B" w:rsidRPr="002C6223">
        <w:rPr>
          <w:rFonts w:ascii="Arial" w:hAnsi="Arial" w:cs="Arial"/>
        </w:rPr>
        <w:t xml:space="preserve"> σε κτίρια που είναι ήδη συνδεδεμένα με </w:t>
      </w:r>
      <w:r w:rsidR="0012566B" w:rsidRPr="0012566B">
        <w:rPr>
          <w:rFonts w:ascii="Arial" w:hAnsi="Arial" w:cs="Arial"/>
          <w:lang w:val="en-US"/>
        </w:rPr>
        <w:t>FTTH</w:t>
      </w:r>
      <w:r w:rsidR="00A23601">
        <w:rPr>
          <w:rFonts w:ascii="Arial" w:hAnsi="Arial" w:cs="Arial"/>
        </w:rPr>
        <w:t xml:space="preserve"> </w:t>
      </w:r>
      <w:r w:rsidR="0012566B" w:rsidRPr="002C6223">
        <w:rPr>
          <w:rFonts w:ascii="Arial" w:hAnsi="Arial" w:cs="Arial"/>
        </w:rPr>
        <w:t xml:space="preserve">ενισχύει περαιτέρω την υιοθέτηση υπηρεσιών </w:t>
      </w:r>
      <w:r w:rsidR="0012566B" w:rsidRPr="0012566B">
        <w:rPr>
          <w:rFonts w:ascii="Arial" w:hAnsi="Arial" w:cs="Arial"/>
          <w:lang w:val="en-US"/>
        </w:rPr>
        <w:t>FTTH</w:t>
      </w:r>
      <w:r w:rsidR="0012566B" w:rsidRPr="002C6223">
        <w:rPr>
          <w:rFonts w:ascii="Arial" w:hAnsi="Arial" w:cs="Arial"/>
        </w:rPr>
        <w:t>.</w:t>
      </w:r>
      <w:r w:rsidR="00425255" w:rsidRPr="002C6223">
        <w:rPr>
          <w:rFonts w:ascii="Arial" w:hAnsi="Arial" w:cs="Arial"/>
        </w:rPr>
        <w:t xml:space="preserve"> </w:t>
      </w:r>
      <w:bookmarkStart w:id="3" w:name="_Hlk221103997"/>
      <w:r w:rsidR="00425255" w:rsidRPr="008C2B12">
        <w:rPr>
          <w:rFonts w:ascii="Arial" w:hAnsi="Arial" w:cs="Arial"/>
        </w:rPr>
        <w:t xml:space="preserve">Η διείσδυση </w:t>
      </w:r>
      <w:r w:rsidR="005B7BAB">
        <w:rPr>
          <w:rFonts w:ascii="Arial" w:hAnsi="Arial" w:cs="Arial"/>
        </w:rPr>
        <w:t>των οπτικών ινών</w:t>
      </w:r>
      <w:r w:rsidR="00425255" w:rsidRPr="008C2B12">
        <w:rPr>
          <w:rFonts w:ascii="Arial" w:hAnsi="Arial" w:cs="Arial"/>
        </w:rPr>
        <w:t xml:space="preserve"> οδηγεί σε βελτιωμένη εμπειρία πελάτη, μικρότερη απώλεια συνδρομητών, καθώς και σε χαμηλότερο λειτουργικό </w:t>
      </w:r>
      <w:r w:rsidR="00425255" w:rsidRPr="00B478F2">
        <w:rPr>
          <w:rFonts w:ascii="Arial" w:hAnsi="Arial" w:cs="Arial"/>
        </w:rPr>
        <w:t xml:space="preserve">κόστος, στοιχεία που </w:t>
      </w:r>
      <w:r w:rsidR="007468B1">
        <w:rPr>
          <w:rFonts w:ascii="Arial" w:hAnsi="Arial" w:cs="Arial"/>
        </w:rPr>
        <w:t>συμβάλλουν σ</w:t>
      </w:r>
      <w:r w:rsidR="000F07BE">
        <w:rPr>
          <w:rFonts w:ascii="Arial" w:hAnsi="Arial" w:cs="Arial"/>
        </w:rPr>
        <w:t>τη διατήρηση της ηγετικής θέσης του ΟΤΕ στην αγορά</w:t>
      </w:r>
      <w:r w:rsidR="00425255" w:rsidRPr="00B478F2">
        <w:rPr>
          <w:rFonts w:ascii="Arial" w:hAnsi="Arial" w:cs="Arial"/>
        </w:rPr>
        <w:t xml:space="preserve">. </w:t>
      </w:r>
      <w:r w:rsidR="000F07BE">
        <w:rPr>
          <w:rFonts w:ascii="Arial" w:hAnsi="Arial" w:cs="Arial"/>
        </w:rPr>
        <w:t>Παράλληλα</w:t>
      </w:r>
      <w:r w:rsidR="00382284" w:rsidRPr="00382284">
        <w:rPr>
          <w:rFonts w:ascii="Arial" w:hAnsi="Arial" w:cs="Arial"/>
        </w:rPr>
        <w:t xml:space="preserve">, η Εταιρεία συνεχίζει να εμπλουτίζει </w:t>
      </w:r>
      <w:r w:rsidR="00382284">
        <w:rPr>
          <w:rFonts w:ascii="Arial" w:hAnsi="Arial" w:cs="Arial"/>
        </w:rPr>
        <w:t>το χαρτοφυλάκιό</w:t>
      </w:r>
      <w:r w:rsidR="00382284" w:rsidRPr="00382284">
        <w:rPr>
          <w:rFonts w:ascii="Arial" w:hAnsi="Arial" w:cs="Arial"/>
        </w:rPr>
        <w:t xml:space="preserve"> της με υπηρεσίες προστιθέμενης αξίας, όπως το Fiber to the Room (FTTR), το οποίο επεκτείνει την οπτική ίνα σε κάθε δωμάτιο</w:t>
      </w:r>
      <w:r w:rsidR="003E7B78" w:rsidRPr="00760BC9">
        <w:rPr>
          <w:rFonts w:ascii="Arial" w:hAnsi="Arial" w:cs="Arial"/>
        </w:rPr>
        <w:t xml:space="preserve"> </w:t>
      </w:r>
      <w:r w:rsidR="003E7B78">
        <w:rPr>
          <w:rFonts w:ascii="Arial" w:hAnsi="Arial" w:cs="Arial"/>
        </w:rPr>
        <w:t>του σπιτιού και της επιχείρησης</w:t>
      </w:r>
      <w:r w:rsidR="00382284" w:rsidRPr="00382284">
        <w:rPr>
          <w:rFonts w:ascii="Arial" w:hAnsi="Arial" w:cs="Arial"/>
        </w:rPr>
        <w:t xml:space="preserve">, ενισχύοντας περαιτέρω την αξία προς τον πελάτη, καθώς και </w:t>
      </w:r>
      <w:r w:rsidR="008733FF">
        <w:rPr>
          <w:rFonts w:ascii="Arial" w:hAnsi="Arial" w:cs="Arial"/>
        </w:rPr>
        <w:t xml:space="preserve">με </w:t>
      </w:r>
      <w:r w:rsidR="00382284" w:rsidRPr="00382284">
        <w:rPr>
          <w:rFonts w:ascii="Arial" w:hAnsi="Arial" w:cs="Arial"/>
        </w:rPr>
        <w:t xml:space="preserve">άλλες λύσεις </w:t>
      </w:r>
      <w:r w:rsidR="00382284">
        <w:rPr>
          <w:rFonts w:ascii="Arial" w:hAnsi="Arial" w:cs="Arial"/>
        </w:rPr>
        <w:t>σ</w:t>
      </w:r>
      <w:r w:rsidR="00382284" w:rsidRPr="006B1C75">
        <w:rPr>
          <w:rFonts w:ascii="Arial" w:hAnsi="Arial" w:cs="Arial"/>
        </w:rPr>
        <w:t xml:space="preserve">υνδεσιμότητας Wi-Fi στο σπίτι, </w:t>
      </w:r>
      <w:r w:rsidR="00382284" w:rsidRPr="00937052">
        <w:rPr>
          <w:rFonts w:ascii="Arial" w:hAnsi="Arial" w:cs="Arial"/>
        </w:rPr>
        <w:t xml:space="preserve">όπως </w:t>
      </w:r>
      <w:r w:rsidR="00382284">
        <w:rPr>
          <w:rFonts w:ascii="Arial" w:hAnsi="Arial" w:cs="Arial"/>
        </w:rPr>
        <w:t xml:space="preserve">το </w:t>
      </w:r>
      <w:r w:rsidR="00387D86">
        <w:rPr>
          <w:rFonts w:ascii="Arial" w:hAnsi="Arial" w:cs="Arial"/>
        </w:rPr>
        <w:t xml:space="preserve">σύστημα </w:t>
      </w:r>
      <w:r w:rsidR="00387D86">
        <w:rPr>
          <w:rFonts w:ascii="Arial" w:hAnsi="Arial" w:cs="Arial"/>
          <w:lang w:val="en-US"/>
        </w:rPr>
        <w:t>Wifi</w:t>
      </w:r>
      <w:r w:rsidR="00387D86" w:rsidRPr="00387D86">
        <w:rPr>
          <w:rFonts w:ascii="Arial" w:hAnsi="Arial" w:cs="Arial"/>
        </w:rPr>
        <w:t xml:space="preserve"> </w:t>
      </w:r>
      <w:r w:rsidR="00382284" w:rsidRPr="00937052">
        <w:rPr>
          <w:rFonts w:ascii="Arial" w:hAnsi="Arial" w:cs="Arial"/>
        </w:rPr>
        <w:t>Mesh</w:t>
      </w:r>
      <w:r w:rsidR="00382284" w:rsidRPr="00382284">
        <w:rPr>
          <w:rFonts w:ascii="Arial" w:hAnsi="Arial" w:cs="Arial"/>
        </w:rPr>
        <w:t xml:space="preserve">, που βελτιώνουν την εμπειρία WiFi και υποστηρίζουν τη </w:t>
      </w:r>
      <w:r w:rsidR="006B1C75">
        <w:rPr>
          <w:rFonts w:ascii="Arial" w:hAnsi="Arial" w:cs="Arial"/>
        </w:rPr>
        <w:t>δημιουργία</w:t>
      </w:r>
      <w:r w:rsidR="00382284">
        <w:rPr>
          <w:rFonts w:ascii="Arial" w:hAnsi="Arial" w:cs="Arial"/>
        </w:rPr>
        <w:t xml:space="preserve"> </w:t>
      </w:r>
      <w:r w:rsidR="006B1C75">
        <w:rPr>
          <w:rFonts w:ascii="Arial" w:hAnsi="Arial" w:cs="Arial"/>
        </w:rPr>
        <w:t>π</w:t>
      </w:r>
      <w:r w:rsidR="00382284" w:rsidRPr="00382284">
        <w:rPr>
          <w:rFonts w:ascii="Arial" w:hAnsi="Arial" w:cs="Arial"/>
        </w:rPr>
        <w:t>ρόσθετων εσόδων, ενισχύοντας παράλληλα τη διαφοροποίηση</w:t>
      </w:r>
      <w:r w:rsidR="0080236D">
        <w:rPr>
          <w:rFonts w:ascii="Arial" w:hAnsi="Arial" w:cs="Arial"/>
        </w:rPr>
        <w:t xml:space="preserve"> απέναντι στον ανταγωνισμό</w:t>
      </w:r>
      <w:r w:rsidR="00382284" w:rsidRPr="00382284">
        <w:rPr>
          <w:rFonts w:ascii="Arial" w:hAnsi="Arial" w:cs="Arial"/>
        </w:rPr>
        <w:t>.</w:t>
      </w:r>
      <w:r w:rsidR="000F07BE">
        <w:rPr>
          <w:rFonts w:ascii="Arial" w:hAnsi="Arial" w:cs="Arial"/>
        </w:rPr>
        <w:t xml:space="preserve"> </w:t>
      </w:r>
    </w:p>
    <w:bookmarkEnd w:id="3"/>
    <w:p w14:paraId="6BC84F96" w14:textId="14827801" w:rsidR="00BB7705" w:rsidRPr="000074F5" w:rsidRDefault="003A65B2" w:rsidP="008305F3">
      <w:pPr>
        <w:spacing w:line="280" w:lineRule="exact"/>
        <w:jc w:val="both"/>
        <w:rPr>
          <w:rFonts w:ascii="Arial" w:hAnsi="Arial" w:cs="Arial"/>
        </w:rPr>
      </w:pPr>
      <w:r>
        <w:rPr>
          <w:rFonts w:ascii="Arial" w:hAnsi="Arial" w:cs="Arial"/>
        </w:rPr>
        <w:t xml:space="preserve">Η </w:t>
      </w:r>
      <w:r w:rsidR="00F25C59">
        <w:rPr>
          <w:rFonts w:ascii="Arial" w:hAnsi="Arial" w:cs="Arial"/>
        </w:rPr>
        <w:t>αυξανομένη ζήτηση</w:t>
      </w:r>
      <w:r w:rsidRPr="003A65B2">
        <w:rPr>
          <w:rFonts w:ascii="Arial" w:hAnsi="Arial" w:cs="Arial"/>
        </w:rPr>
        <w:t xml:space="preserve"> υπηρεσιών FTTH αποτυπώνεται στην </w:t>
      </w:r>
      <w:r w:rsidR="000F799F">
        <w:rPr>
          <w:rFonts w:ascii="Arial" w:hAnsi="Arial" w:cs="Arial"/>
        </w:rPr>
        <w:t>όλο και μεγαλύτερη</w:t>
      </w:r>
      <w:r w:rsidR="000F799F" w:rsidRPr="003A65B2">
        <w:rPr>
          <w:rFonts w:ascii="Arial" w:hAnsi="Arial" w:cs="Arial"/>
        </w:rPr>
        <w:t xml:space="preserve"> </w:t>
      </w:r>
      <w:r w:rsidRPr="003A65B2">
        <w:rPr>
          <w:rFonts w:ascii="Arial" w:hAnsi="Arial" w:cs="Arial"/>
        </w:rPr>
        <w:t>αξιοποίηση της υποδομής του ΟΤΕ</w:t>
      </w:r>
      <w:r>
        <w:rPr>
          <w:rFonts w:ascii="Arial" w:hAnsi="Arial" w:cs="Arial"/>
        </w:rPr>
        <w:t xml:space="preserve">. </w:t>
      </w:r>
      <w:r w:rsidR="0071414B">
        <w:rPr>
          <w:rFonts w:ascii="Arial" w:hAnsi="Arial" w:cs="Arial"/>
        </w:rPr>
        <w:t>Η</w:t>
      </w:r>
      <w:r w:rsidR="008305F3" w:rsidRPr="00C7005D">
        <w:rPr>
          <w:rFonts w:ascii="Arial" w:hAnsi="Arial" w:cs="Arial"/>
        </w:rPr>
        <w:t xml:space="preserve"> διείσδυση στις υποδομές </w:t>
      </w:r>
      <w:r w:rsidR="008305F3" w:rsidRPr="00D66702">
        <w:rPr>
          <w:rFonts w:ascii="Arial" w:hAnsi="Arial" w:cs="Arial"/>
          <w:lang w:val="en-US"/>
        </w:rPr>
        <w:t>FTTH</w:t>
      </w:r>
      <w:r w:rsidR="008305F3" w:rsidRPr="00C7005D">
        <w:rPr>
          <w:rFonts w:ascii="Arial" w:hAnsi="Arial" w:cs="Arial"/>
        </w:rPr>
        <w:t xml:space="preserve"> του ΟΤΕ (συνολικό ποσοστό </w:t>
      </w:r>
      <w:r w:rsidR="008305F3" w:rsidRPr="00962D61">
        <w:rPr>
          <w:rFonts w:ascii="Arial" w:hAnsi="Arial" w:cs="Arial"/>
        </w:rPr>
        <w:t>FTTH</w:t>
      </w:r>
      <w:r w:rsidR="008305F3" w:rsidRPr="00C7005D">
        <w:rPr>
          <w:rFonts w:ascii="Arial" w:hAnsi="Arial" w:cs="Arial"/>
        </w:rPr>
        <w:t xml:space="preserve"> πελατών αγοράς επί των </w:t>
      </w:r>
      <w:r w:rsidR="00387D86">
        <w:rPr>
          <w:rFonts w:ascii="Arial" w:hAnsi="Arial" w:cs="Arial"/>
        </w:rPr>
        <w:t xml:space="preserve">εμπορικά </w:t>
      </w:r>
      <w:r w:rsidR="008305F3" w:rsidRPr="00C7005D">
        <w:rPr>
          <w:rFonts w:ascii="Arial" w:hAnsi="Arial" w:cs="Arial"/>
        </w:rPr>
        <w:t xml:space="preserve">διαθέσιμων γραμμών </w:t>
      </w:r>
      <w:r w:rsidR="008305F3" w:rsidRPr="00962D61">
        <w:rPr>
          <w:rFonts w:ascii="Arial" w:hAnsi="Arial" w:cs="Arial"/>
        </w:rPr>
        <w:t>OTE</w:t>
      </w:r>
      <w:r w:rsidR="008305F3" w:rsidRPr="00C7005D">
        <w:rPr>
          <w:rFonts w:ascii="Arial" w:hAnsi="Arial" w:cs="Arial"/>
        </w:rPr>
        <w:t xml:space="preserve">) ανήλθε σε </w:t>
      </w:r>
      <w:r w:rsidR="008305F3">
        <w:rPr>
          <w:rFonts w:ascii="Arial" w:hAnsi="Arial" w:cs="Arial"/>
        </w:rPr>
        <w:t>3</w:t>
      </w:r>
      <w:r w:rsidR="007C66F0">
        <w:rPr>
          <w:rFonts w:ascii="Arial" w:hAnsi="Arial" w:cs="Arial"/>
        </w:rPr>
        <w:t>9</w:t>
      </w:r>
      <w:r w:rsidR="008305F3" w:rsidRPr="00195221">
        <w:rPr>
          <w:rFonts w:ascii="Arial" w:hAnsi="Arial" w:cs="Arial"/>
        </w:rPr>
        <w:t>%</w:t>
      </w:r>
      <w:r w:rsidR="008305F3" w:rsidRPr="00C7005D">
        <w:rPr>
          <w:rFonts w:ascii="Arial" w:hAnsi="Arial" w:cs="Arial"/>
        </w:rPr>
        <w:t xml:space="preserve">, </w:t>
      </w:r>
      <w:r w:rsidR="008305F3">
        <w:rPr>
          <w:rFonts w:ascii="Arial" w:hAnsi="Arial" w:cs="Arial"/>
        </w:rPr>
        <w:t>από 2</w:t>
      </w:r>
      <w:r w:rsidR="007C66F0">
        <w:rPr>
          <w:rFonts w:ascii="Arial" w:hAnsi="Arial" w:cs="Arial"/>
        </w:rPr>
        <w:t>9</w:t>
      </w:r>
      <w:r w:rsidR="008305F3" w:rsidRPr="00C7005D">
        <w:rPr>
          <w:rFonts w:ascii="Arial" w:hAnsi="Arial" w:cs="Arial"/>
        </w:rPr>
        <w:t>% ένα χρόνο πριν</w:t>
      </w:r>
      <w:r w:rsidR="007C66F0">
        <w:rPr>
          <w:rFonts w:ascii="Arial" w:hAnsi="Arial" w:cs="Arial"/>
        </w:rPr>
        <w:t xml:space="preserve">. </w:t>
      </w:r>
      <w:r w:rsidR="00632509">
        <w:rPr>
          <w:rFonts w:ascii="Arial" w:hAnsi="Arial" w:cs="Arial"/>
        </w:rPr>
        <w:t>Τ</w:t>
      </w:r>
      <w:r w:rsidR="008305F3" w:rsidRPr="00C7005D">
        <w:rPr>
          <w:rFonts w:ascii="Arial" w:hAnsi="Arial" w:cs="Arial"/>
        </w:rPr>
        <w:t>ο 8</w:t>
      </w:r>
      <w:r w:rsidR="00632509">
        <w:rPr>
          <w:rFonts w:ascii="Arial" w:hAnsi="Arial" w:cs="Arial"/>
        </w:rPr>
        <w:t>2</w:t>
      </w:r>
      <w:r w:rsidR="008305F3" w:rsidRPr="00C7005D">
        <w:rPr>
          <w:rFonts w:ascii="Arial" w:hAnsi="Arial" w:cs="Arial"/>
        </w:rPr>
        <w:t>%</w:t>
      </w:r>
      <w:r w:rsidR="00CD48DA">
        <w:rPr>
          <w:rFonts w:ascii="Arial" w:hAnsi="Arial" w:cs="Arial"/>
        </w:rPr>
        <w:t xml:space="preserve"> </w:t>
      </w:r>
      <w:r w:rsidR="00632509">
        <w:rPr>
          <w:rFonts w:ascii="Arial" w:hAnsi="Arial" w:cs="Arial"/>
        </w:rPr>
        <w:t xml:space="preserve">των πελατών </w:t>
      </w:r>
      <w:r w:rsidR="00632509">
        <w:rPr>
          <w:rFonts w:ascii="Arial" w:hAnsi="Arial" w:cs="Arial"/>
          <w:lang w:val="en-US"/>
        </w:rPr>
        <w:t>FTTH</w:t>
      </w:r>
      <w:r w:rsidR="00517800">
        <w:rPr>
          <w:rFonts w:ascii="Arial" w:hAnsi="Arial" w:cs="Arial"/>
        </w:rPr>
        <w:t xml:space="preserve"> του ΟΤΕ</w:t>
      </w:r>
      <w:r w:rsidR="008305F3" w:rsidRPr="00C7005D">
        <w:rPr>
          <w:rFonts w:ascii="Arial" w:hAnsi="Arial" w:cs="Arial"/>
        </w:rPr>
        <w:t xml:space="preserve"> χρησιμοποιούν την υποδομή του ΟΤΕ</w:t>
      </w:r>
      <w:r w:rsidR="00632509">
        <w:rPr>
          <w:rFonts w:ascii="Arial" w:hAnsi="Arial" w:cs="Arial"/>
        </w:rPr>
        <w:t>, ενώ</w:t>
      </w:r>
      <w:r w:rsidR="008305F3" w:rsidRPr="00C7005D">
        <w:rPr>
          <w:rFonts w:ascii="Arial" w:hAnsi="Arial" w:cs="Arial"/>
        </w:rPr>
        <w:t xml:space="preserve"> το 4</w:t>
      </w:r>
      <w:r w:rsidR="00632509">
        <w:rPr>
          <w:rFonts w:ascii="Arial" w:hAnsi="Arial" w:cs="Arial"/>
        </w:rPr>
        <w:t>8</w:t>
      </w:r>
      <w:r w:rsidR="008305F3" w:rsidRPr="00C7005D">
        <w:rPr>
          <w:rFonts w:ascii="Arial" w:hAnsi="Arial" w:cs="Arial"/>
        </w:rPr>
        <w:t xml:space="preserve">% των συνδρομητών </w:t>
      </w:r>
      <w:r w:rsidR="008305F3" w:rsidRPr="00962D61">
        <w:rPr>
          <w:rFonts w:ascii="Arial" w:hAnsi="Arial" w:cs="Arial"/>
        </w:rPr>
        <w:t>FTTH</w:t>
      </w:r>
      <w:r w:rsidR="008305F3" w:rsidRPr="00C7005D">
        <w:rPr>
          <w:rFonts w:ascii="Arial" w:hAnsi="Arial" w:cs="Arial"/>
        </w:rPr>
        <w:t xml:space="preserve"> του ανταγωνισμού βασίζ</w:t>
      </w:r>
      <w:r w:rsidR="008305F3">
        <w:rPr>
          <w:rFonts w:ascii="Arial" w:hAnsi="Arial" w:cs="Arial"/>
        </w:rPr>
        <w:t>ε</w:t>
      </w:r>
      <w:r w:rsidR="008305F3" w:rsidRPr="00C7005D">
        <w:rPr>
          <w:rFonts w:ascii="Arial" w:hAnsi="Arial" w:cs="Arial"/>
        </w:rPr>
        <w:t xml:space="preserve">ται στις υποδομές του ΟΤΕ, συγκριτικά με </w:t>
      </w:r>
      <w:r w:rsidR="008305F3">
        <w:rPr>
          <w:rFonts w:ascii="Arial" w:hAnsi="Arial" w:cs="Arial"/>
        </w:rPr>
        <w:t>4</w:t>
      </w:r>
      <w:r w:rsidR="00632509">
        <w:rPr>
          <w:rFonts w:ascii="Arial" w:hAnsi="Arial" w:cs="Arial"/>
        </w:rPr>
        <w:t>4</w:t>
      </w:r>
      <w:r w:rsidR="008305F3" w:rsidRPr="00C7005D">
        <w:rPr>
          <w:rFonts w:ascii="Arial" w:hAnsi="Arial" w:cs="Arial"/>
        </w:rPr>
        <w:t xml:space="preserve">% ένα χρόνο πριν, αύξηση που οφείλεται </w:t>
      </w:r>
      <w:r w:rsidR="008305F3">
        <w:rPr>
          <w:rFonts w:ascii="Arial" w:hAnsi="Arial" w:cs="Arial"/>
        </w:rPr>
        <w:t>κυρίως στις</w:t>
      </w:r>
      <w:r w:rsidR="008305F3" w:rsidRPr="00C7005D" w:rsidDel="00B967A7">
        <w:rPr>
          <w:rFonts w:ascii="Arial" w:hAnsi="Arial" w:cs="Arial"/>
        </w:rPr>
        <w:t xml:space="preserve"> </w:t>
      </w:r>
      <w:r w:rsidR="008305F3" w:rsidRPr="00C7005D">
        <w:rPr>
          <w:rFonts w:ascii="Arial" w:hAnsi="Arial" w:cs="Arial"/>
        </w:rPr>
        <w:t xml:space="preserve">συμφωνίες εκπτώσεων όγκου στην αγορά χονδρικής </w:t>
      </w:r>
      <w:r w:rsidR="008305F3" w:rsidRPr="00D66702">
        <w:rPr>
          <w:rFonts w:ascii="Arial" w:hAnsi="Arial" w:cs="Arial"/>
          <w:lang w:val="en-US"/>
        </w:rPr>
        <w:t>FTTH</w:t>
      </w:r>
      <w:r w:rsidR="008305F3" w:rsidRPr="00C7005D">
        <w:rPr>
          <w:rFonts w:ascii="Arial" w:hAnsi="Arial" w:cs="Arial"/>
        </w:rPr>
        <w:t xml:space="preserve"> μεταξύ </w:t>
      </w:r>
      <w:r w:rsidR="008305F3">
        <w:rPr>
          <w:rFonts w:ascii="Arial" w:hAnsi="Arial" w:cs="Arial"/>
        </w:rPr>
        <w:t xml:space="preserve">των </w:t>
      </w:r>
      <w:r w:rsidR="008305F3" w:rsidRPr="00C7005D">
        <w:rPr>
          <w:rFonts w:ascii="Arial" w:hAnsi="Arial" w:cs="Arial"/>
        </w:rPr>
        <w:t>βασικών παρόχων της αγοράς</w:t>
      </w:r>
      <w:r w:rsidR="008305F3">
        <w:rPr>
          <w:rFonts w:ascii="Arial" w:hAnsi="Arial" w:cs="Arial"/>
        </w:rPr>
        <w:t>.</w:t>
      </w:r>
      <w:r w:rsidR="00632509">
        <w:rPr>
          <w:rFonts w:ascii="Arial" w:hAnsi="Arial" w:cs="Arial"/>
        </w:rPr>
        <w:t xml:space="preserve"> </w:t>
      </w:r>
      <w:r w:rsidR="00632509" w:rsidRPr="00786A2D">
        <w:rPr>
          <w:rFonts w:ascii="Arial" w:hAnsi="Arial" w:cs="Arial"/>
        </w:rPr>
        <w:t xml:space="preserve">Η αυξανόμενη χρήση </w:t>
      </w:r>
      <w:r w:rsidR="00CD48DA">
        <w:rPr>
          <w:rFonts w:ascii="Arial" w:hAnsi="Arial" w:cs="Arial"/>
        </w:rPr>
        <w:t xml:space="preserve">των </w:t>
      </w:r>
      <w:r w:rsidR="00CD48DA">
        <w:rPr>
          <w:rFonts w:ascii="Arial" w:hAnsi="Arial" w:cs="Arial"/>
          <w:lang w:val="en-US"/>
        </w:rPr>
        <w:t>FTTH</w:t>
      </w:r>
      <w:r w:rsidR="00632509" w:rsidRPr="00786A2D">
        <w:rPr>
          <w:rFonts w:ascii="Arial" w:hAnsi="Arial" w:cs="Arial"/>
        </w:rPr>
        <w:t xml:space="preserve"> υποδομών </w:t>
      </w:r>
      <w:r w:rsidR="00CD48DA">
        <w:rPr>
          <w:rFonts w:ascii="Arial" w:hAnsi="Arial" w:cs="Arial"/>
        </w:rPr>
        <w:t>του ΟΤΕ</w:t>
      </w:r>
      <w:r w:rsidR="00632509" w:rsidRPr="00786A2D">
        <w:rPr>
          <w:rFonts w:ascii="Arial" w:hAnsi="Arial" w:cs="Arial"/>
        </w:rPr>
        <w:t xml:space="preserve"> υποστηρίζει τα έσοδα από υπηρεσίες χονδρικής, </w:t>
      </w:r>
      <w:r w:rsidR="00632509" w:rsidRPr="00786A2D">
        <w:rPr>
          <w:rFonts w:ascii="Arial" w:hAnsi="Arial" w:cs="Arial"/>
        </w:rPr>
        <w:lastRenderedPageBreak/>
        <w:t>αντισταθμίζοντας τις απώλειες γραμμών χονδρικής σε περιοχές όπου οι ανταγωνιστές έχουν αναπτύξει δικά τους δίκτυα FTTH</w:t>
      </w:r>
      <w:r w:rsidRPr="00786A2D">
        <w:rPr>
          <w:rFonts w:ascii="Arial" w:hAnsi="Arial" w:cs="Arial"/>
        </w:rPr>
        <w:t>.</w:t>
      </w:r>
    </w:p>
    <w:p w14:paraId="1CA20A2E" w14:textId="5A721148" w:rsidR="008E4DFF" w:rsidRPr="00322D6C" w:rsidRDefault="00BC0BDD" w:rsidP="00322D6C">
      <w:pPr>
        <w:spacing w:line="276" w:lineRule="auto"/>
        <w:jc w:val="both"/>
        <w:rPr>
          <w:rFonts w:ascii="Arial" w:hAnsi="Arial" w:cs="Arial"/>
        </w:rPr>
      </w:pPr>
      <w:r w:rsidRPr="00DD7FFE">
        <w:rPr>
          <w:rFonts w:ascii="Arial" w:hAnsi="Arial" w:cs="Arial"/>
        </w:rPr>
        <w:t>Ο ΟΤΕ παραμένει πρωτοπόρος στην ανάπτυξη υποδομ</w:t>
      </w:r>
      <w:r w:rsidR="00682988" w:rsidRPr="00DD7FFE">
        <w:rPr>
          <w:rFonts w:ascii="Arial" w:hAnsi="Arial" w:cs="Arial"/>
        </w:rPr>
        <w:t>ών</w:t>
      </w:r>
      <w:r w:rsidRPr="00DD7FFE">
        <w:rPr>
          <w:rFonts w:ascii="Arial" w:hAnsi="Arial" w:cs="Arial"/>
        </w:rPr>
        <w:t xml:space="preserve"> οπτικής ίνας </w:t>
      </w:r>
      <w:r w:rsidR="000D6629">
        <w:rPr>
          <w:rFonts w:ascii="Arial" w:hAnsi="Arial" w:cs="Arial"/>
        </w:rPr>
        <w:t xml:space="preserve">στην </w:t>
      </w:r>
      <w:r w:rsidRPr="00DD7FFE">
        <w:rPr>
          <w:rFonts w:ascii="Arial" w:hAnsi="Arial" w:cs="Arial"/>
        </w:rPr>
        <w:t>Ελλάδα, ισχυροποιώντας τη</w:t>
      </w:r>
      <w:r w:rsidR="00126FEA">
        <w:rPr>
          <w:rFonts w:ascii="Arial" w:hAnsi="Arial" w:cs="Arial"/>
        </w:rPr>
        <w:t>ν</w:t>
      </w:r>
      <w:r w:rsidRPr="00DD7FFE">
        <w:rPr>
          <w:rFonts w:ascii="Arial" w:hAnsi="Arial" w:cs="Arial"/>
        </w:rPr>
        <w:t xml:space="preserve"> ηγετική του θέση στην αγορά</w:t>
      </w:r>
      <w:r w:rsidR="00DD7FFE" w:rsidRPr="00DD7FFE">
        <w:rPr>
          <w:rFonts w:ascii="Arial" w:hAnsi="Arial" w:cs="Arial"/>
        </w:rPr>
        <w:t xml:space="preserve">. </w:t>
      </w:r>
      <w:r w:rsidR="001913C1" w:rsidRPr="00DD7FFE">
        <w:rPr>
          <w:rFonts w:ascii="Arial" w:hAnsi="Arial" w:cs="Arial"/>
        </w:rPr>
        <w:t xml:space="preserve">Στο τέλος </w:t>
      </w:r>
      <w:r w:rsidR="005A389A">
        <w:rPr>
          <w:rFonts w:ascii="Arial" w:hAnsi="Arial" w:cs="Arial"/>
        </w:rPr>
        <w:t>Μαρτίου</w:t>
      </w:r>
      <w:r w:rsidR="001913C1" w:rsidRPr="00DD7FFE">
        <w:rPr>
          <w:rFonts w:ascii="Arial" w:hAnsi="Arial" w:cs="Arial"/>
        </w:rPr>
        <w:t xml:space="preserve"> 202</w:t>
      </w:r>
      <w:r w:rsidR="005A389A">
        <w:rPr>
          <w:rFonts w:ascii="Arial" w:hAnsi="Arial" w:cs="Arial"/>
        </w:rPr>
        <w:t>6</w:t>
      </w:r>
      <w:r w:rsidR="001913C1" w:rsidRPr="00DD7FFE">
        <w:rPr>
          <w:rFonts w:ascii="Arial" w:hAnsi="Arial" w:cs="Arial"/>
        </w:rPr>
        <w:t xml:space="preserve">, η Εταιρεία </w:t>
      </w:r>
      <w:r w:rsidR="005A389A">
        <w:rPr>
          <w:rFonts w:ascii="Arial" w:hAnsi="Arial" w:cs="Arial"/>
        </w:rPr>
        <w:t>είχε φέρει</w:t>
      </w:r>
      <w:r w:rsidR="00DD7FFE">
        <w:rPr>
          <w:rFonts w:ascii="Arial" w:hAnsi="Arial" w:cs="Arial"/>
        </w:rPr>
        <w:t xml:space="preserve"> την οπτική ίνα σε </w:t>
      </w:r>
      <w:r w:rsidR="005A389A">
        <w:rPr>
          <w:rFonts w:ascii="Arial" w:hAnsi="Arial" w:cs="Arial"/>
        </w:rPr>
        <w:t xml:space="preserve">περισσότερα από </w:t>
      </w:r>
      <w:r w:rsidR="001913C1" w:rsidRPr="00DD7FFE">
        <w:rPr>
          <w:rFonts w:ascii="Arial" w:hAnsi="Arial" w:cs="Arial"/>
        </w:rPr>
        <w:t xml:space="preserve">2,1 εκατ. </w:t>
      </w:r>
      <w:r w:rsidR="00574E28" w:rsidRPr="00DD7FFE">
        <w:rPr>
          <w:rFonts w:ascii="Arial" w:hAnsi="Arial" w:cs="Arial"/>
        </w:rPr>
        <w:t>σπίτια</w:t>
      </w:r>
      <w:r w:rsidR="001913C1" w:rsidRPr="00DD7FFE">
        <w:rPr>
          <w:rFonts w:ascii="Arial" w:hAnsi="Arial" w:cs="Arial"/>
        </w:rPr>
        <w:t xml:space="preserve"> και επιχειρήσεις</w:t>
      </w:r>
      <w:r w:rsidR="005A389A">
        <w:rPr>
          <w:rFonts w:ascii="Arial" w:hAnsi="Arial" w:cs="Arial"/>
        </w:rPr>
        <w:t>, ενώ</w:t>
      </w:r>
      <w:r w:rsidR="005A389A" w:rsidRPr="007B4D2C">
        <w:rPr>
          <w:rFonts w:ascii="Arial" w:hAnsi="Arial" w:cs="Arial"/>
        </w:rPr>
        <w:t xml:space="preserve"> στοχεύει σε περίπου 2,4 εκατομμύρια νοικοκυριά κι επιχειρήσεις μέχρι το τέλος του</w:t>
      </w:r>
      <w:r w:rsidR="00682988" w:rsidRPr="00DD7FFE">
        <w:rPr>
          <w:rFonts w:ascii="Arial" w:hAnsi="Arial" w:cs="Arial"/>
        </w:rPr>
        <w:t xml:space="preserve"> </w:t>
      </w:r>
      <w:r w:rsidR="00322D6C">
        <w:rPr>
          <w:rFonts w:ascii="Arial" w:hAnsi="Arial" w:cs="Arial"/>
        </w:rPr>
        <w:t xml:space="preserve">2026. </w:t>
      </w:r>
      <w:r w:rsidR="006C4CE0">
        <w:rPr>
          <w:rFonts w:ascii="Arial" w:hAnsi="Arial" w:cs="Arial"/>
        </w:rPr>
        <w:t xml:space="preserve">Το </w:t>
      </w:r>
      <w:r w:rsidR="00884D89">
        <w:rPr>
          <w:rFonts w:ascii="Arial" w:hAnsi="Arial" w:cs="Arial"/>
        </w:rPr>
        <w:t>τελευταίο διάστημα</w:t>
      </w:r>
      <w:r w:rsidR="00322D6C" w:rsidRPr="00322D6C">
        <w:rPr>
          <w:rFonts w:ascii="Arial" w:hAnsi="Arial" w:cs="Arial"/>
        </w:rPr>
        <w:t xml:space="preserve">, </w:t>
      </w:r>
      <w:r w:rsidR="00BA776C">
        <w:rPr>
          <w:rFonts w:ascii="Arial" w:hAnsi="Arial" w:cs="Arial"/>
        </w:rPr>
        <w:t xml:space="preserve">ξεκίνησε η εμπορική διάθεση υπηρεσιών </w:t>
      </w:r>
      <w:r w:rsidR="00AF18B3">
        <w:rPr>
          <w:rFonts w:ascii="Arial" w:hAnsi="Arial" w:cs="Arial"/>
          <w:lang w:val="en-US"/>
        </w:rPr>
        <w:t>FTTH</w:t>
      </w:r>
      <w:r w:rsidR="00BA776C">
        <w:rPr>
          <w:rFonts w:ascii="Arial" w:hAnsi="Arial" w:cs="Arial"/>
        </w:rPr>
        <w:t xml:space="preserve"> στο πλαίσιο του έργου </w:t>
      </w:r>
      <w:r w:rsidR="00322D6C" w:rsidRPr="00322D6C">
        <w:rPr>
          <w:rFonts w:ascii="Arial" w:hAnsi="Arial" w:cs="Arial"/>
        </w:rPr>
        <w:t>UFBB,</w:t>
      </w:r>
      <w:r w:rsidR="00322D6C" w:rsidRPr="00322D6C" w:rsidDel="00C92286">
        <w:rPr>
          <w:rFonts w:ascii="Arial" w:hAnsi="Arial" w:cs="Arial"/>
        </w:rPr>
        <w:t xml:space="preserve"> </w:t>
      </w:r>
      <w:r w:rsidR="00322D6C" w:rsidRPr="00322D6C">
        <w:rPr>
          <w:rFonts w:ascii="Arial" w:hAnsi="Arial" w:cs="Arial"/>
        </w:rPr>
        <w:t xml:space="preserve">με ταχύτητες έως και 1Gbps σε αγροτικές και ημιαστικές περιοχές. Η εξέλιξη αυτή </w:t>
      </w:r>
      <w:r w:rsidR="00322D6C">
        <w:rPr>
          <w:rFonts w:ascii="Arial" w:hAnsi="Arial" w:cs="Arial"/>
        </w:rPr>
        <w:t>είναι απόλυτα ευθυγραμμισμένη</w:t>
      </w:r>
      <w:r w:rsidR="00322D6C" w:rsidRPr="00322D6C">
        <w:rPr>
          <w:rFonts w:ascii="Arial" w:hAnsi="Arial" w:cs="Arial"/>
        </w:rPr>
        <w:t xml:space="preserve"> με το όραμα του ΟΤΕ για την </w:t>
      </w:r>
      <w:r w:rsidR="00301079">
        <w:rPr>
          <w:rFonts w:ascii="Arial" w:hAnsi="Arial" w:cs="Arial"/>
        </w:rPr>
        <w:t>επιτάχυνση</w:t>
      </w:r>
      <w:r w:rsidR="00301079" w:rsidRPr="00322D6C">
        <w:rPr>
          <w:rFonts w:ascii="Arial" w:hAnsi="Arial" w:cs="Arial"/>
        </w:rPr>
        <w:t xml:space="preserve"> </w:t>
      </w:r>
      <w:r w:rsidR="00322D6C" w:rsidRPr="00322D6C">
        <w:rPr>
          <w:rFonts w:ascii="Arial" w:hAnsi="Arial" w:cs="Arial"/>
        </w:rPr>
        <w:t>του ψηφιακού μετασχηματισμού της Ελλάδας</w:t>
      </w:r>
      <w:r w:rsidR="00E552FD">
        <w:rPr>
          <w:rFonts w:ascii="Arial" w:hAnsi="Arial" w:cs="Arial"/>
        </w:rPr>
        <w:t xml:space="preserve">, </w:t>
      </w:r>
      <w:r w:rsidR="0055592C">
        <w:rPr>
          <w:rFonts w:ascii="Arial" w:hAnsi="Arial" w:cs="Arial"/>
        </w:rPr>
        <w:t xml:space="preserve">καθώς η </w:t>
      </w:r>
      <w:r w:rsidR="00301079" w:rsidRPr="00322D6C">
        <w:rPr>
          <w:rFonts w:ascii="Arial" w:hAnsi="Arial" w:cs="Arial"/>
        </w:rPr>
        <w:t xml:space="preserve">συνεχιζόμενη επέκταση </w:t>
      </w:r>
      <w:r w:rsidR="00301079">
        <w:rPr>
          <w:rFonts w:ascii="Arial" w:hAnsi="Arial" w:cs="Arial"/>
        </w:rPr>
        <w:t xml:space="preserve">των υποδομών </w:t>
      </w:r>
      <w:r w:rsidR="00C32EBC" w:rsidDel="00301079">
        <w:rPr>
          <w:rFonts w:ascii="Arial" w:hAnsi="Arial" w:cs="Arial"/>
        </w:rPr>
        <w:t>του</w:t>
      </w:r>
      <w:r w:rsidR="00C32EBC">
        <w:rPr>
          <w:rFonts w:ascii="Arial" w:hAnsi="Arial" w:cs="Arial"/>
        </w:rPr>
        <w:t xml:space="preserve"> </w:t>
      </w:r>
      <w:r w:rsidR="0055592C">
        <w:rPr>
          <w:rFonts w:ascii="Arial" w:hAnsi="Arial" w:cs="Arial"/>
        </w:rPr>
        <w:t xml:space="preserve">συνέβαλε καθοριστικά </w:t>
      </w:r>
      <w:r w:rsidR="00322D6C" w:rsidRPr="00322D6C">
        <w:rPr>
          <w:rFonts w:ascii="Arial" w:hAnsi="Arial" w:cs="Arial"/>
        </w:rPr>
        <w:t>στη βελτίωση της κατάταξ</w:t>
      </w:r>
      <w:r w:rsidR="00E552FD">
        <w:rPr>
          <w:rFonts w:ascii="Arial" w:hAnsi="Arial" w:cs="Arial"/>
        </w:rPr>
        <w:t>η</w:t>
      </w:r>
      <w:r w:rsidR="00322D6C" w:rsidRPr="00322D6C">
        <w:rPr>
          <w:rFonts w:ascii="Arial" w:hAnsi="Arial" w:cs="Arial"/>
        </w:rPr>
        <w:t xml:space="preserve">ς </w:t>
      </w:r>
      <w:r w:rsidR="00E552FD">
        <w:rPr>
          <w:rFonts w:ascii="Arial" w:hAnsi="Arial" w:cs="Arial"/>
        </w:rPr>
        <w:t>της χώρας</w:t>
      </w:r>
      <w:r w:rsidR="00322D6C" w:rsidRPr="00322D6C" w:rsidDel="00154D78">
        <w:rPr>
          <w:rFonts w:ascii="Arial" w:hAnsi="Arial" w:cs="Arial"/>
        </w:rPr>
        <w:t xml:space="preserve"> </w:t>
      </w:r>
      <w:r w:rsidR="00322D6C" w:rsidRPr="00322D6C">
        <w:rPr>
          <w:rFonts w:ascii="Arial" w:hAnsi="Arial" w:cs="Arial"/>
        </w:rPr>
        <w:t xml:space="preserve">στον δείκτη Speedtest Global Index της Ookla </w:t>
      </w:r>
      <w:r w:rsidR="00154D78">
        <w:rPr>
          <w:rFonts w:ascii="Arial" w:hAnsi="Arial" w:cs="Arial"/>
        </w:rPr>
        <w:t>για τις επιδόσεις στη σταθερή ευρυζωνικότητα</w:t>
      </w:r>
      <w:r w:rsidR="00322D6C" w:rsidRPr="00322D6C">
        <w:rPr>
          <w:rFonts w:ascii="Arial" w:hAnsi="Arial" w:cs="Arial"/>
        </w:rPr>
        <w:t>.</w:t>
      </w:r>
    </w:p>
    <w:p w14:paraId="4F733877" w14:textId="4EB48F66" w:rsidR="00D714CF" w:rsidRPr="00B33BC4" w:rsidRDefault="007E108B" w:rsidP="00E825F9">
      <w:pPr>
        <w:spacing w:line="276" w:lineRule="auto"/>
        <w:jc w:val="both"/>
        <w:rPr>
          <w:rFonts w:ascii="Arial" w:hAnsi="Arial" w:cs="Arial"/>
        </w:rPr>
      </w:pPr>
      <w:r>
        <w:rPr>
          <w:rFonts w:ascii="Arial" w:hAnsi="Arial" w:cs="Arial"/>
          <w:b/>
          <w:bCs/>
        </w:rPr>
        <w:t>Ευρυζωνικές Υπηρεσίες -</w:t>
      </w:r>
      <w:r w:rsidR="00382F70" w:rsidRPr="00E825F9">
        <w:rPr>
          <w:rFonts w:ascii="Arial" w:hAnsi="Arial" w:cs="Arial"/>
          <w:b/>
          <w:bCs/>
        </w:rPr>
        <w:t xml:space="preserve"> </w:t>
      </w:r>
      <w:r w:rsidR="00C33660" w:rsidRPr="00E825F9">
        <w:rPr>
          <w:rFonts w:ascii="Arial" w:hAnsi="Arial" w:cs="Arial"/>
          <w:b/>
          <w:bCs/>
          <w:lang w:val="en-US"/>
        </w:rPr>
        <w:t>Fixed</w:t>
      </w:r>
      <w:r w:rsidR="00C33660" w:rsidRPr="00E825F9">
        <w:rPr>
          <w:rFonts w:ascii="Arial" w:hAnsi="Arial" w:cs="Arial"/>
          <w:b/>
          <w:bCs/>
        </w:rPr>
        <w:t xml:space="preserve"> </w:t>
      </w:r>
      <w:r w:rsidR="00C33660" w:rsidRPr="00E825F9">
        <w:rPr>
          <w:rFonts w:ascii="Arial" w:hAnsi="Arial" w:cs="Arial"/>
          <w:b/>
          <w:bCs/>
          <w:lang w:val="en-US"/>
        </w:rPr>
        <w:t>Wireless</w:t>
      </w:r>
      <w:r w:rsidR="00C33660" w:rsidRPr="00E825F9">
        <w:rPr>
          <w:rFonts w:ascii="Arial" w:hAnsi="Arial" w:cs="Arial"/>
          <w:b/>
          <w:bCs/>
        </w:rPr>
        <w:t xml:space="preserve"> </w:t>
      </w:r>
      <w:r w:rsidR="00C33660" w:rsidRPr="00E825F9">
        <w:rPr>
          <w:rFonts w:ascii="Arial" w:hAnsi="Arial" w:cs="Arial"/>
          <w:b/>
          <w:bCs/>
          <w:lang w:val="en-US"/>
        </w:rPr>
        <w:t>Access</w:t>
      </w:r>
      <w:r w:rsidR="00B72D4E" w:rsidRPr="00E825F9">
        <w:rPr>
          <w:rFonts w:ascii="Arial" w:hAnsi="Arial" w:cs="Arial"/>
          <w:b/>
          <w:bCs/>
        </w:rPr>
        <w:t xml:space="preserve"> </w:t>
      </w:r>
      <w:r w:rsidR="00C33660" w:rsidRPr="00E825F9">
        <w:rPr>
          <w:rFonts w:ascii="Arial" w:hAnsi="Arial" w:cs="Arial"/>
          <w:b/>
          <w:bCs/>
        </w:rPr>
        <w:t>(</w:t>
      </w:r>
      <w:r w:rsidR="00C33660" w:rsidRPr="00E825F9">
        <w:rPr>
          <w:rFonts w:ascii="Arial" w:hAnsi="Arial" w:cs="Arial"/>
          <w:b/>
          <w:bCs/>
          <w:lang w:val="en-US"/>
        </w:rPr>
        <w:t>FWA</w:t>
      </w:r>
      <w:r w:rsidR="00C33660" w:rsidRPr="00E825F9">
        <w:rPr>
          <w:rFonts w:ascii="Arial" w:hAnsi="Arial" w:cs="Arial"/>
          <w:b/>
          <w:bCs/>
        </w:rPr>
        <w:t>):</w:t>
      </w:r>
      <w:r w:rsidR="00C33660" w:rsidRPr="00E825F9">
        <w:rPr>
          <w:rFonts w:ascii="Arial" w:hAnsi="Arial" w:cs="Arial"/>
        </w:rPr>
        <w:t xml:space="preserve"> </w:t>
      </w:r>
      <w:r w:rsidR="00324B23" w:rsidRPr="00E825F9">
        <w:rPr>
          <w:rFonts w:ascii="Arial" w:hAnsi="Arial" w:cs="Arial"/>
        </w:rPr>
        <w:t xml:space="preserve">Η </w:t>
      </w:r>
      <w:bookmarkStart w:id="4" w:name="_Hlk221109221"/>
      <w:r w:rsidR="00324B23" w:rsidRPr="00E825F9">
        <w:rPr>
          <w:rFonts w:ascii="Arial" w:hAnsi="Arial" w:cs="Arial"/>
        </w:rPr>
        <w:t xml:space="preserve">υπηρεσία </w:t>
      </w:r>
      <w:r w:rsidR="000074F5" w:rsidRPr="00E825F9">
        <w:rPr>
          <w:rFonts w:ascii="Arial" w:hAnsi="Arial" w:cs="Arial"/>
          <w:lang w:val="en-US"/>
        </w:rPr>
        <w:t>COSMOTE</w:t>
      </w:r>
      <w:r w:rsidR="000074F5" w:rsidRPr="00E825F9">
        <w:rPr>
          <w:rFonts w:ascii="Arial" w:hAnsi="Arial" w:cs="Arial"/>
        </w:rPr>
        <w:t xml:space="preserve"> </w:t>
      </w:r>
      <w:r w:rsidR="00324B23" w:rsidRPr="00E825F9">
        <w:rPr>
          <w:rFonts w:ascii="Arial" w:hAnsi="Arial" w:cs="Arial"/>
        </w:rPr>
        <w:t>5</w:t>
      </w:r>
      <w:r w:rsidR="00324B23" w:rsidRPr="00E825F9">
        <w:rPr>
          <w:rFonts w:ascii="Arial" w:hAnsi="Arial" w:cs="Arial"/>
          <w:lang w:val="en-US"/>
        </w:rPr>
        <w:t>G</w:t>
      </w:r>
      <w:r w:rsidR="00324B23" w:rsidRPr="00E825F9">
        <w:rPr>
          <w:rFonts w:ascii="Arial" w:hAnsi="Arial" w:cs="Arial"/>
        </w:rPr>
        <w:t xml:space="preserve"> </w:t>
      </w:r>
      <w:r w:rsidR="00324B23" w:rsidRPr="00E825F9">
        <w:rPr>
          <w:rFonts w:ascii="Arial" w:hAnsi="Arial" w:cs="Arial"/>
          <w:lang w:val="en-US"/>
        </w:rPr>
        <w:t>WiFi</w:t>
      </w:r>
      <w:bookmarkEnd w:id="4"/>
      <w:r w:rsidR="00324B23" w:rsidRPr="00E825F9">
        <w:rPr>
          <w:rFonts w:ascii="Arial" w:hAnsi="Arial" w:cs="Arial"/>
        </w:rPr>
        <w:t xml:space="preserve">, </w:t>
      </w:r>
      <w:bookmarkStart w:id="5" w:name="_Hlk221109194"/>
      <w:r w:rsidR="00324B23" w:rsidRPr="00E825F9">
        <w:rPr>
          <w:rFonts w:ascii="Arial" w:hAnsi="Arial" w:cs="Arial"/>
        </w:rPr>
        <w:t xml:space="preserve">η οποία αξιοποιεί την τεχνολογία </w:t>
      </w:r>
      <w:r w:rsidR="00324B23" w:rsidRPr="00E825F9">
        <w:rPr>
          <w:rFonts w:ascii="Arial" w:hAnsi="Arial" w:cs="Arial"/>
          <w:lang w:val="en-US"/>
        </w:rPr>
        <w:t>Fixed</w:t>
      </w:r>
      <w:r w:rsidR="00324B23" w:rsidRPr="00E825F9">
        <w:rPr>
          <w:rFonts w:ascii="Arial" w:hAnsi="Arial" w:cs="Arial"/>
        </w:rPr>
        <w:t xml:space="preserve"> </w:t>
      </w:r>
      <w:r w:rsidR="00324B23" w:rsidRPr="00E825F9">
        <w:rPr>
          <w:rFonts w:ascii="Arial" w:hAnsi="Arial" w:cs="Arial"/>
          <w:lang w:val="en-US"/>
        </w:rPr>
        <w:t>Wireless</w:t>
      </w:r>
      <w:r w:rsidR="00324B23" w:rsidRPr="00E825F9">
        <w:rPr>
          <w:rFonts w:ascii="Arial" w:hAnsi="Arial" w:cs="Arial"/>
        </w:rPr>
        <w:t xml:space="preserve"> </w:t>
      </w:r>
      <w:r w:rsidR="00324B23" w:rsidRPr="00E825F9">
        <w:rPr>
          <w:rFonts w:ascii="Arial" w:hAnsi="Arial" w:cs="Arial"/>
          <w:lang w:val="en-US"/>
        </w:rPr>
        <w:t>Access</w:t>
      </w:r>
      <w:r w:rsidR="00324B23" w:rsidRPr="00E825F9">
        <w:rPr>
          <w:rFonts w:ascii="Arial" w:hAnsi="Arial" w:cs="Arial"/>
        </w:rPr>
        <w:t xml:space="preserve"> (</w:t>
      </w:r>
      <w:r w:rsidR="00324B23" w:rsidRPr="00E825F9">
        <w:rPr>
          <w:rFonts w:ascii="Arial" w:hAnsi="Arial" w:cs="Arial"/>
          <w:lang w:val="en-US"/>
        </w:rPr>
        <w:t>FWA</w:t>
      </w:r>
      <w:r w:rsidR="00324B23" w:rsidRPr="00E825F9">
        <w:rPr>
          <w:rFonts w:ascii="Arial" w:hAnsi="Arial" w:cs="Arial"/>
        </w:rPr>
        <w:t xml:space="preserve">) μέσω </w:t>
      </w:r>
      <w:r w:rsidR="00B1176F">
        <w:rPr>
          <w:rFonts w:ascii="Arial" w:hAnsi="Arial" w:cs="Arial"/>
        </w:rPr>
        <w:t>των προηγμένων δικτύων</w:t>
      </w:r>
      <w:r w:rsidR="00324B23" w:rsidRPr="00E825F9">
        <w:rPr>
          <w:rFonts w:ascii="Arial" w:hAnsi="Arial" w:cs="Arial"/>
        </w:rPr>
        <w:t xml:space="preserve"> 5</w:t>
      </w:r>
      <w:r w:rsidR="00324B23" w:rsidRPr="00E825F9">
        <w:rPr>
          <w:rFonts w:ascii="Arial" w:hAnsi="Arial" w:cs="Arial"/>
          <w:lang w:val="en-US"/>
        </w:rPr>
        <w:t>G</w:t>
      </w:r>
      <w:r w:rsidR="00324B23" w:rsidRPr="00E825F9">
        <w:rPr>
          <w:rFonts w:ascii="Arial" w:hAnsi="Arial" w:cs="Arial"/>
        </w:rPr>
        <w:t xml:space="preserve"> και 5</w:t>
      </w:r>
      <w:r w:rsidR="00324B23" w:rsidRPr="00E825F9">
        <w:rPr>
          <w:rFonts w:ascii="Arial" w:hAnsi="Arial" w:cs="Arial"/>
          <w:lang w:val="en-US"/>
        </w:rPr>
        <w:t>G</w:t>
      </w:r>
      <w:r w:rsidR="00324B23" w:rsidRPr="00E825F9">
        <w:rPr>
          <w:rFonts w:ascii="Arial" w:hAnsi="Arial" w:cs="Arial"/>
        </w:rPr>
        <w:t>+ του ΟΤΕ</w:t>
      </w:r>
      <w:bookmarkEnd w:id="5"/>
      <w:r w:rsidR="00324B23" w:rsidRPr="00E825F9">
        <w:rPr>
          <w:rFonts w:ascii="Arial" w:hAnsi="Arial" w:cs="Arial"/>
        </w:rPr>
        <w:t xml:space="preserve">, συνεχίζει να κερδίζει έδαφος. </w:t>
      </w:r>
      <w:r w:rsidR="00324B23" w:rsidRPr="005C787B">
        <w:rPr>
          <w:rFonts w:ascii="Arial" w:hAnsi="Arial" w:cs="Arial"/>
        </w:rPr>
        <w:t xml:space="preserve">Κατά τη διάρκεια του τριμήνου, η υιοθέτηση </w:t>
      </w:r>
      <w:r w:rsidR="00B1176F">
        <w:rPr>
          <w:rFonts w:ascii="Arial" w:hAnsi="Arial" w:cs="Arial"/>
        </w:rPr>
        <w:t>της υπηρεσίας</w:t>
      </w:r>
      <w:r w:rsidR="00324B23" w:rsidRPr="005C787B">
        <w:rPr>
          <w:rFonts w:ascii="Arial" w:hAnsi="Arial" w:cs="Arial"/>
        </w:rPr>
        <w:t xml:space="preserve"> </w:t>
      </w:r>
      <w:r w:rsidR="00324B23" w:rsidRPr="00E825F9">
        <w:rPr>
          <w:rFonts w:ascii="Arial" w:hAnsi="Arial" w:cs="Arial"/>
          <w:lang w:val="en-US"/>
        </w:rPr>
        <w:t>FWA</w:t>
      </w:r>
      <w:r w:rsidR="009676F8">
        <w:rPr>
          <w:rFonts w:ascii="Arial" w:hAnsi="Arial" w:cs="Arial"/>
        </w:rPr>
        <w:t xml:space="preserve"> </w:t>
      </w:r>
      <w:r w:rsidR="00B1176F">
        <w:rPr>
          <w:rFonts w:ascii="Arial" w:hAnsi="Arial" w:cs="Arial"/>
        </w:rPr>
        <w:t>συνεχίστηκε δυναμικά</w:t>
      </w:r>
      <w:r w:rsidR="00324B23" w:rsidRPr="005C787B">
        <w:rPr>
          <w:rFonts w:ascii="Arial" w:hAnsi="Arial" w:cs="Arial"/>
        </w:rPr>
        <w:t xml:space="preserve">, με τη συνολική βάση συνδρομητών να φτάνει </w:t>
      </w:r>
      <w:r w:rsidR="005A0A72">
        <w:rPr>
          <w:rFonts w:ascii="Arial" w:hAnsi="Arial" w:cs="Arial"/>
        </w:rPr>
        <w:t xml:space="preserve">τις </w:t>
      </w:r>
      <w:r w:rsidR="00101104">
        <w:rPr>
          <w:rFonts w:ascii="Arial" w:hAnsi="Arial" w:cs="Arial"/>
        </w:rPr>
        <w:t xml:space="preserve">100 χιλιάδες από </w:t>
      </w:r>
      <w:r w:rsidR="009676F8" w:rsidRPr="00525C66">
        <w:rPr>
          <w:rFonts w:ascii="Arial" w:hAnsi="Arial" w:cs="Arial"/>
        </w:rPr>
        <w:t>35 χιλιάδες το Α’ τρίμηνο του 2025.</w:t>
      </w:r>
      <w:r w:rsidR="009676F8">
        <w:rPr>
          <w:rFonts w:ascii="Arial" w:hAnsi="Arial" w:cs="Arial"/>
        </w:rPr>
        <w:t xml:space="preserve"> </w:t>
      </w:r>
      <w:r w:rsidR="00324B23" w:rsidRPr="005C787B">
        <w:rPr>
          <w:rFonts w:ascii="Arial" w:hAnsi="Arial" w:cs="Arial"/>
        </w:rPr>
        <w:t xml:space="preserve">Η αυξανόμενη υιοθέτηση του </w:t>
      </w:r>
      <w:r w:rsidR="00324B23" w:rsidRPr="00E825F9">
        <w:rPr>
          <w:rFonts w:ascii="Arial" w:hAnsi="Arial" w:cs="Arial"/>
          <w:lang w:val="en-US"/>
        </w:rPr>
        <w:t>FWA</w:t>
      </w:r>
      <w:r w:rsidR="00324B23" w:rsidRPr="005C787B">
        <w:rPr>
          <w:rFonts w:ascii="Arial" w:hAnsi="Arial" w:cs="Arial"/>
        </w:rPr>
        <w:t xml:space="preserve"> </w:t>
      </w:r>
      <w:r w:rsidR="003D5D0E">
        <w:rPr>
          <w:rFonts w:ascii="Arial" w:hAnsi="Arial" w:cs="Arial"/>
        </w:rPr>
        <w:t>υποστηρίζει</w:t>
      </w:r>
      <w:r w:rsidR="00EB7E79">
        <w:rPr>
          <w:rFonts w:ascii="Arial" w:hAnsi="Arial" w:cs="Arial"/>
        </w:rPr>
        <w:t xml:space="preserve"> </w:t>
      </w:r>
      <w:r w:rsidR="00324B23" w:rsidRPr="005C787B">
        <w:rPr>
          <w:rFonts w:ascii="Arial" w:hAnsi="Arial" w:cs="Arial"/>
        </w:rPr>
        <w:t>τη συνολική ευρυζωνική συνδρομητική βάση</w:t>
      </w:r>
      <w:r w:rsidR="005A0A72">
        <w:rPr>
          <w:rFonts w:ascii="Arial" w:hAnsi="Arial" w:cs="Arial"/>
        </w:rPr>
        <w:t>,</w:t>
      </w:r>
      <w:r w:rsidR="00324B23" w:rsidRPr="005C787B">
        <w:rPr>
          <w:rFonts w:ascii="Arial" w:hAnsi="Arial" w:cs="Arial"/>
        </w:rPr>
        <w:t xml:space="preserve"> </w:t>
      </w:r>
      <w:r w:rsidR="00E33530" w:rsidRPr="00E33530">
        <w:rPr>
          <w:rFonts w:ascii="Arial" w:hAnsi="Arial" w:cs="Arial"/>
        </w:rPr>
        <w:t xml:space="preserve">επιτρέποντας στον ΟΤΕ να </w:t>
      </w:r>
      <w:r w:rsidR="00E33530">
        <w:rPr>
          <w:rFonts w:ascii="Arial" w:hAnsi="Arial" w:cs="Arial"/>
        </w:rPr>
        <w:t>θωρακίσει το μερίδιό του στην αγορά.</w:t>
      </w:r>
      <w:r w:rsidR="00E33530" w:rsidRPr="00E33530">
        <w:rPr>
          <w:rFonts w:ascii="Arial" w:hAnsi="Arial" w:cs="Arial"/>
        </w:rPr>
        <w:t xml:space="preserve"> </w:t>
      </w:r>
    </w:p>
    <w:p w14:paraId="74ED95E9" w14:textId="7DDACFEE" w:rsidR="00FA3AD6" w:rsidRPr="00C00D3D" w:rsidRDefault="00265B28" w:rsidP="00E825F9">
      <w:pPr>
        <w:spacing w:line="276" w:lineRule="auto"/>
        <w:jc w:val="both"/>
        <w:rPr>
          <w:rFonts w:ascii="Arial" w:hAnsi="Arial" w:cs="Arial"/>
        </w:rPr>
      </w:pPr>
      <w:r w:rsidRPr="005C787B">
        <w:rPr>
          <w:rFonts w:ascii="Arial" w:hAnsi="Arial" w:cs="Arial"/>
          <w:b/>
          <w:bCs/>
        </w:rPr>
        <w:t>Υπηρεσίες Τηλεόρασης</w:t>
      </w:r>
      <w:r w:rsidRPr="005C787B">
        <w:rPr>
          <w:rFonts w:ascii="Arial" w:hAnsi="Arial" w:cs="Arial"/>
        </w:rPr>
        <w:t xml:space="preserve">: </w:t>
      </w:r>
      <w:r w:rsidR="00A910EC">
        <w:rPr>
          <w:rFonts w:ascii="Arial" w:hAnsi="Arial" w:cs="Arial"/>
        </w:rPr>
        <w:t xml:space="preserve">Στο τέλος </w:t>
      </w:r>
      <w:r w:rsidR="006E4253">
        <w:rPr>
          <w:rFonts w:ascii="Arial" w:hAnsi="Arial" w:cs="Arial"/>
        </w:rPr>
        <w:t>Μαρτίου</w:t>
      </w:r>
      <w:r w:rsidR="00FA3AD6">
        <w:rPr>
          <w:rFonts w:ascii="Arial" w:hAnsi="Arial" w:cs="Arial"/>
        </w:rPr>
        <w:t xml:space="preserve"> 202</w:t>
      </w:r>
      <w:r w:rsidR="006E4253">
        <w:rPr>
          <w:rFonts w:ascii="Arial" w:hAnsi="Arial" w:cs="Arial"/>
        </w:rPr>
        <w:t>6</w:t>
      </w:r>
      <w:r w:rsidR="00FA3AD6">
        <w:rPr>
          <w:rFonts w:ascii="Arial" w:hAnsi="Arial" w:cs="Arial"/>
        </w:rPr>
        <w:t>, οι συνδρομητές τηλεόρασης του ΟΤΕ</w:t>
      </w:r>
      <w:r w:rsidR="00996802" w:rsidRPr="005C787B">
        <w:rPr>
          <w:rFonts w:ascii="Arial" w:hAnsi="Arial" w:cs="Arial"/>
        </w:rPr>
        <w:t xml:space="preserve"> </w:t>
      </w:r>
      <w:r w:rsidR="00A910EC">
        <w:rPr>
          <w:rFonts w:ascii="Arial" w:hAnsi="Arial" w:cs="Arial"/>
        </w:rPr>
        <w:t xml:space="preserve">ανήλθαν σε </w:t>
      </w:r>
      <w:r w:rsidR="00A910EC" w:rsidRPr="005C787B">
        <w:rPr>
          <w:rFonts w:ascii="Arial" w:hAnsi="Arial" w:cs="Arial"/>
        </w:rPr>
        <w:t>7</w:t>
      </w:r>
      <w:r w:rsidR="006E4253">
        <w:rPr>
          <w:rFonts w:ascii="Arial" w:hAnsi="Arial" w:cs="Arial"/>
        </w:rPr>
        <w:t>92</w:t>
      </w:r>
      <w:r w:rsidR="00A910EC" w:rsidRPr="005C787B">
        <w:rPr>
          <w:rFonts w:ascii="Arial" w:hAnsi="Arial" w:cs="Arial"/>
        </w:rPr>
        <w:t xml:space="preserve"> χιλιάδες,</w:t>
      </w:r>
      <w:r w:rsidR="00A910EC">
        <w:rPr>
          <w:rFonts w:ascii="Arial" w:hAnsi="Arial" w:cs="Arial"/>
        </w:rPr>
        <w:t xml:space="preserve"> </w:t>
      </w:r>
      <w:r w:rsidR="00077369" w:rsidRPr="005C787B">
        <w:rPr>
          <w:rFonts w:ascii="Arial" w:hAnsi="Arial" w:cs="Arial"/>
        </w:rPr>
        <w:t xml:space="preserve">σημειώνοντας ετήσια αύξηση </w:t>
      </w:r>
      <w:r w:rsidR="006E4253">
        <w:rPr>
          <w:rFonts w:ascii="Arial" w:hAnsi="Arial" w:cs="Arial"/>
        </w:rPr>
        <w:t>8</w:t>
      </w:r>
      <w:r w:rsidR="00077369" w:rsidRPr="005C787B">
        <w:rPr>
          <w:rFonts w:ascii="Arial" w:hAnsi="Arial" w:cs="Arial"/>
        </w:rPr>
        <w:t>,1%</w:t>
      </w:r>
      <w:r w:rsidR="00A910EC">
        <w:rPr>
          <w:rFonts w:ascii="Arial" w:hAnsi="Arial" w:cs="Arial"/>
        </w:rPr>
        <w:t>.</w:t>
      </w:r>
      <w:r w:rsidR="00B1176F">
        <w:rPr>
          <w:rFonts w:ascii="Arial" w:hAnsi="Arial" w:cs="Arial"/>
        </w:rPr>
        <w:t xml:space="preserve"> </w:t>
      </w:r>
      <w:r w:rsidR="00A910EC">
        <w:rPr>
          <w:rFonts w:ascii="Arial" w:hAnsi="Arial" w:cs="Arial"/>
        </w:rPr>
        <w:t>Ο ΟΤΕ προσέλκυσε</w:t>
      </w:r>
      <w:r w:rsidR="00D5248E" w:rsidRPr="005C787B">
        <w:rPr>
          <w:rFonts w:ascii="Arial" w:hAnsi="Arial" w:cs="Arial"/>
        </w:rPr>
        <w:t xml:space="preserve"> 1</w:t>
      </w:r>
      <w:r w:rsidR="00F729F6">
        <w:rPr>
          <w:rFonts w:ascii="Arial" w:hAnsi="Arial" w:cs="Arial"/>
        </w:rPr>
        <w:t>5</w:t>
      </w:r>
      <w:r w:rsidR="00D5248E" w:rsidRPr="005C787B">
        <w:rPr>
          <w:rFonts w:ascii="Arial" w:hAnsi="Arial" w:cs="Arial"/>
        </w:rPr>
        <w:t xml:space="preserve"> χιλιάδες </w:t>
      </w:r>
      <w:r w:rsidR="00A910EC">
        <w:rPr>
          <w:rFonts w:ascii="Arial" w:hAnsi="Arial" w:cs="Arial"/>
        </w:rPr>
        <w:t>νέους συνδρομητές</w:t>
      </w:r>
      <w:r w:rsidR="00D5248E" w:rsidRPr="005C787B">
        <w:rPr>
          <w:rFonts w:ascii="Arial" w:hAnsi="Arial" w:cs="Arial"/>
        </w:rPr>
        <w:t xml:space="preserve"> στο τρίμηνο</w:t>
      </w:r>
      <w:r w:rsidR="00633059">
        <w:rPr>
          <w:rFonts w:ascii="Arial" w:hAnsi="Arial" w:cs="Arial"/>
        </w:rPr>
        <w:t xml:space="preserve">, </w:t>
      </w:r>
      <w:r w:rsidR="00633059" w:rsidRPr="00633059">
        <w:rPr>
          <w:rFonts w:ascii="Arial" w:hAnsi="Arial" w:cs="Arial"/>
        </w:rPr>
        <w:t>διπλάσι</w:t>
      </w:r>
      <w:r w:rsidR="00633059">
        <w:rPr>
          <w:rFonts w:ascii="Arial" w:hAnsi="Arial" w:cs="Arial"/>
        </w:rPr>
        <w:t>ους</w:t>
      </w:r>
      <w:r w:rsidR="00633059" w:rsidRPr="00633059">
        <w:rPr>
          <w:rFonts w:ascii="Arial" w:hAnsi="Arial" w:cs="Arial"/>
        </w:rPr>
        <w:t xml:space="preserve"> σε σύγκριση </w:t>
      </w:r>
      <w:r w:rsidR="00633059" w:rsidRPr="00633059" w:rsidDel="00127FBB">
        <w:rPr>
          <w:rFonts w:ascii="Arial" w:hAnsi="Arial" w:cs="Arial"/>
        </w:rPr>
        <w:t xml:space="preserve">με </w:t>
      </w:r>
      <w:r w:rsidR="00127FBB">
        <w:rPr>
          <w:rFonts w:ascii="Arial" w:hAnsi="Arial" w:cs="Arial"/>
        </w:rPr>
        <w:t>την αντίστοιχη περίοδο πέρυσι</w:t>
      </w:r>
      <w:r w:rsidR="00FC366E">
        <w:rPr>
          <w:rFonts w:ascii="Arial" w:hAnsi="Arial" w:cs="Arial"/>
        </w:rPr>
        <w:t>.</w:t>
      </w:r>
      <w:r w:rsidR="00853EB3" w:rsidRPr="005C787B" w:rsidDel="007C6195">
        <w:rPr>
          <w:rFonts w:ascii="Arial" w:hAnsi="Arial" w:cs="Arial"/>
        </w:rPr>
        <w:t xml:space="preserve"> </w:t>
      </w:r>
      <w:r w:rsidR="00A910EC">
        <w:rPr>
          <w:rFonts w:ascii="Arial" w:hAnsi="Arial" w:cs="Arial"/>
        </w:rPr>
        <w:t xml:space="preserve">Στην </w:t>
      </w:r>
      <w:r w:rsidR="00853EB3" w:rsidRPr="005C787B">
        <w:rPr>
          <w:rFonts w:ascii="Arial" w:hAnsi="Arial" w:cs="Arial"/>
        </w:rPr>
        <w:t xml:space="preserve">ανάπτυξη </w:t>
      </w:r>
      <w:r w:rsidR="00A910EC">
        <w:rPr>
          <w:rFonts w:ascii="Arial" w:hAnsi="Arial" w:cs="Arial"/>
        </w:rPr>
        <w:t>συνέβαλε</w:t>
      </w:r>
      <w:r w:rsidR="00853EB3" w:rsidRPr="005C787B">
        <w:rPr>
          <w:rFonts w:ascii="Arial" w:hAnsi="Arial" w:cs="Arial"/>
        </w:rPr>
        <w:t xml:space="preserve"> </w:t>
      </w:r>
      <w:r w:rsidR="00872A97" w:rsidRPr="005C787B">
        <w:rPr>
          <w:rFonts w:ascii="Arial" w:hAnsi="Arial" w:cs="Arial"/>
        </w:rPr>
        <w:t xml:space="preserve">το </w:t>
      </w:r>
      <w:r w:rsidR="00872A97" w:rsidRPr="005C787B" w:rsidDel="00E209DA">
        <w:rPr>
          <w:rFonts w:ascii="Arial" w:hAnsi="Arial" w:cs="Arial"/>
        </w:rPr>
        <w:t xml:space="preserve">πλήρες </w:t>
      </w:r>
      <w:r w:rsidR="00872A97" w:rsidRPr="005C787B">
        <w:rPr>
          <w:rFonts w:ascii="Arial" w:hAnsi="Arial" w:cs="Arial"/>
        </w:rPr>
        <w:t>αθλητικ</w:t>
      </w:r>
      <w:r w:rsidR="00771535">
        <w:rPr>
          <w:rFonts w:ascii="Arial" w:hAnsi="Arial" w:cs="Arial"/>
        </w:rPr>
        <w:t>ό</w:t>
      </w:r>
      <w:r w:rsidR="00872A97" w:rsidRPr="005C787B">
        <w:rPr>
          <w:rFonts w:ascii="Arial" w:hAnsi="Arial" w:cs="Arial"/>
        </w:rPr>
        <w:t xml:space="preserve"> περιεχ</w:t>
      </w:r>
      <w:r w:rsidR="00771535">
        <w:rPr>
          <w:rFonts w:ascii="Arial" w:hAnsi="Arial" w:cs="Arial"/>
        </w:rPr>
        <w:t>όμενο</w:t>
      </w:r>
      <w:r w:rsidR="00872A97" w:rsidRPr="005C787B">
        <w:rPr>
          <w:rFonts w:ascii="Arial" w:hAnsi="Arial" w:cs="Arial"/>
        </w:rPr>
        <w:t xml:space="preserve">, η εφαρμογή αυστηρότερης νομοθεσίας κατά της πειρατείας, </w:t>
      </w:r>
      <w:r w:rsidR="00C00D3D">
        <w:rPr>
          <w:rFonts w:ascii="Arial" w:hAnsi="Arial" w:cs="Arial"/>
        </w:rPr>
        <w:t>καθώς και η</w:t>
      </w:r>
      <w:r w:rsidR="00260A91" w:rsidRPr="005C787B">
        <w:rPr>
          <w:rFonts w:ascii="Arial" w:hAnsi="Arial" w:cs="Arial"/>
        </w:rPr>
        <w:t xml:space="preserve"> κατάργηση του ειδικού φόρου 10% </w:t>
      </w:r>
      <w:r w:rsidR="00A910EC">
        <w:rPr>
          <w:rFonts w:ascii="Arial" w:hAnsi="Arial" w:cs="Arial"/>
        </w:rPr>
        <w:t>που τέθηκε σε</w:t>
      </w:r>
      <w:r w:rsidR="00260A91" w:rsidRPr="005C787B">
        <w:rPr>
          <w:rFonts w:ascii="Arial" w:hAnsi="Arial" w:cs="Arial"/>
        </w:rPr>
        <w:t xml:space="preserve"> ισχύ την 1η Ιανουαρίου 2026</w:t>
      </w:r>
      <w:r w:rsidR="00C00D3D">
        <w:rPr>
          <w:rFonts w:ascii="Arial" w:hAnsi="Arial" w:cs="Arial"/>
        </w:rPr>
        <w:t>.</w:t>
      </w:r>
    </w:p>
    <w:p w14:paraId="7405672F" w14:textId="1026709D" w:rsidR="0099207C" w:rsidRDefault="00164BA2" w:rsidP="00225DF7">
      <w:pPr>
        <w:spacing w:line="280" w:lineRule="exact"/>
        <w:jc w:val="both"/>
        <w:rPr>
          <w:rFonts w:ascii="Arial" w:hAnsi="Arial" w:cs="Arial"/>
        </w:rPr>
      </w:pPr>
      <w:r w:rsidRPr="0005167A">
        <w:rPr>
          <w:rFonts w:ascii="Arial" w:hAnsi="Arial" w:cs="Arial"/>
        </w:rPr>
        <w:t xml:space="preserve">Στην </w:t>
      </w:r>
      <w:r w:rsidRPr="0005167A">
        <w:rPr>
          <w:rFonts w:ascii="Arial" w:hAnsi="Arial" w:cs="Arial"/>
          <w:b/>
          <w:bCs/>
        </w:rPr>
        <w:t>κινητή</w:t>
      </w:r>
      <w:r w:rsidRPr="0005167A">
        <w:rPr>
          <w:rFonts w:ascii="Arial" w:hAnsi="Arial" w:cs="Arial"/>
        </w:rPr>
        <w:t>, ο</w:t>
      </w:r>
      <w:r w:rsidR="00333ED3" w:rsidRPr="0005167A">
        <w:rPr>
          <w:rFonts w:ascii="Arial" w:hAnsi="Arial" w:cs="Arial"/>
        </w:rPr>
        <w:t xml:space="preserve"> ΟΤΕ πέτυχε ακόμα ένα τρίμηνο </w:t>
      </w:r>
      <w:r w:rsidR="00A0623C">
        <w:rPr>
          <w:rFonts w:ascii="Arial" w:hAnsi="Arial" w:cs="Arial"/>
        </w:rPr>
        <w:t xml:space="preserve">αύξησης των πελατών </w:t>
      </w:r>
      <w:r w:rsidR="00333ED3" w:rsidRPr="0005167A">
        <w:rPr>
          <w:rFonts w:ascii="Arial" w:hAnsi="Arial" w:cs="Arial"/>
        </w:rPr>
        <w:t>συμβολαί</w:t>
      </w:r>
      <w:r w:rsidRPr="0005167A">
        <w:rPr>
          <w:rFonts w:ascii="Arial" w:hAnsi="Arial" w:cs="Arial"/>
        </w:rPr>
        <w:t>ου,</w:t>
      </w:r>
      <w:r w:rsidR="00FF1A57">
        <w:rPr>
          <w:rFonts w:ascii="Arial" w:hAnsi="Arial" w:cs="Arial"/>
        </w:rPr>
        <w:t xml:space="preserve"> </w:t>
      </w:r>
      <w:r w:rsidR="00DB0DDA" w:rsidRPr="0005167A">
        <w:rPr>
          <w:rFonts w:ascii="Arial" w:hAnsi="Arial" w:cs="Arial"/>
        </w:rPr>
        <w:t xml:space="preserve">συνεχίζοντας </w:t>
      </w:r>
      <w:r w:rsidR="009A1F39" w:rsidRPr="0005167A">
        <w:rPr>
          <w:rFonts w:ascii="Arial" w:hAnsi="Arial" w:cs="Arial"/>
        </w:rPr>
        <w:t>την τάση</w:t>
      </w:r>
      <w:r w:rsidR="00DB0DDA" w:rsidRPr="0005167A">
        <w:rPr>
          <w:rFonts w:ascii="Arial" w:hAnsi="Arial" w:cs="Arial"/>
        </w:rPr>
        <w:t xml:space="preserve"> των προηγούμενων τριμήνων</w:t>
      </w:r>
      <w:r w:rsidR="00291BFC">
        <w:rPr>
          <w:rFonts w:ascii="Arial" w:hAnsi="Arial" w:cs="Arial"/>
        </w:rPr>
        <w:t>, σημειώνοντας</w:t>
      </w:r>
      <w:r w:rsidR="0099207C">
        <w:rPr>
          <w:rFonts w:ascii="Arial" w:hAnsi="Arial" w:cs="Arial"/>
        </w:rPr>
        <w:t xml:space="preserve"> </w:t>
      </w:r>
      <w:r w:rsidR="00A11FE3">
        <w:rPr>
          <w:rFonts w:ascii="Arial" w:hAnsi="Arial" w:cs="Arial"/>
        </w:rPr>
        <w:t>51 χιλιάδες</w:t>
      </w:r>
      <w:r w:rsidR="00A11FE3" w:rsidDel="0099207C">
        <w:rPr>
          <w:rFonts w:ascii="Arial" w:hAnsi="Arial" w:cs="Arial"/>
        </w:rPr>
        <w:t xml:space="preserve"> προσθήκες πελατών</w:t>
      </w:r>
      <w:r w:rsidR="0099207C">
        <w:rPr>
          <w:rFonts w:ascii="Arial" w:hAnsi="Arial" w:cs="Arial"/>
        </w:rPr>
        <w:t>, αυξάνοντας τη βάση</w:t>
      </w:r>
      <w:r w:rsidR="0099207C" w:rsidDel="00771535">
        <w:rPr>
          <w:rFonts w:ascii="Arial" w:hAnsi="Arial" w:cs="Arial"/>
        </w:rPr>
        <w:t xml:space="preserve"> </w:t>
      </w:r>
      <w:r w:rsidR="00C6686D" w:rsidRPr="0005167A">
        <w:rPr>
          <w:rFonts w:ascii="Arial" w:hAnsi="Arial" w:cs="Arial"/>
        </w:rPr>
        <w:t xml:space="preserve">σε 3,1 εκατ., </w:t>
      </w:r>
      <w:r w:rsidR="00DB732A" w:rsidDel="0099207C">
        <w:rPr>
          <w:rFonts w:ascii="Arial" w:hAnsi="Arial" w:cs="Arial"/>
        </w:rPr>
        <w:t xml:space="preserve">καταγράφοντας </w:t>
      </w:r>
      <w:r w:rsidR="00291BFC">
        <w:rPr>
          <w:rFonts w:ascii="Arial" w:hAnsi="Arial" w:cs="Arial"/>
        </w:rPr>
        <w:t>ρεκόρ ανάπτυξης στο</w:t>
      </w:r>
      <w:r w:rsidR="00DB732A">
        <w:rPr>
          <w:rFonts w:ascii="Arial" w:hAnsi="Arial" w:cs="Arial"/>
        </w:rPr>
        <w:t xml:space="preserve"> </w:t>
      </w:r>
      <w:r w:rsidR="00C6686D" w:rsidRPr="0005167A">
        <w:rPr>
          <w:rFonts w:ascii="Arial" w:hAnsi="Arial" w:cs="Arial"/>
        </w:rPr>
        <w:t>7,</w:t>
      </w:r>
      <w:r w:rsidR="00A11FE3">
        <w:rPr>
          <w:rFonts w:ascii="Arial" w:hAnsi="Arial" w:cs="Arial"/>
        </w:rPr>
        <w:t>6</w:t>
      </w:r>
      <w:r w:rsidR="00C6686D" w:rsidRPr="0005167A">
        <w:rPr>
          <w:rFonts w:ascii="Arial" w:hAnsi="Arial" w:cs="Arial"/>
        </w:rPr>
        <w:t xml:space="preserve">%. </w:t>
      </w:r>
      <w:r w:rsidR="00B96041" w:rsidRPr="0005167A">
        <w:rPr>
          <w:rFonts w:ascii="Arial" w:hAnsi="Arial" w:cs="Arial"/>
        </w:rPr>
        <w:t>Η επίδοση αυτή ενισχύθηκε από τη συνεχιζόμενη μετάβαση πελατών καρτοκινητής σε υπηρεσίες συμβολαίου</w:t>
      </w:r>
      <w:r w:rsidR="0004146A">
        <w:rPr>
          <w:rFonts w:ascii="Arial" w:hAnsi="Arial" w:cs="Arial"/>
        </w:rPr>
        <w:t>,</w:t>
      </w:r>
      <w:r w:rsidR="00B96041" w:rsidRPr="0005167A">
        <w:rPr>
          <w:rFonts w:ascii="Arial" w:hAnsi="Arial" w:cs="Arial"/>
        </w:rPr>
        <w:t xml:space="preserve"> </w:t>
      </w:r>
      <w:r w:rsidR="009D745C">
        <w:rPr>
          <w:rFonts w:ascii="Arial" w:hAnsi="Arial" w:cs="Arial"/>
        </w:rPr>
        <w:t>ε</w:t>
      </w:r>
      <w:r w:rsidR="009D745C" w:rsidRPr="009D745C">
        <w:rPr>
          <w:rFonts w:ascii="Arial" w:hAnsi="Arial" w:cs="Arial"/>
        </w:rPr>
        <w:t xml:space="preserve">νισχύοντας το μικτό ARPU </w:t>
      </w:r>
      <w:r w:rsidR="009D745C">
        <w:rPr>
          <w:rFonts w:ascii="Arial" w:hAnsi="Arial" w:cs="Arial"/>
        </w:rPr>
        <w:t>της κινητής</w:t>
      </w:r>
      <w:r w:rsidR="00A41A9E">
        <w:rPr>
          <w:rFonts w:ascii="Arial" w:hAnsi="Arial" w:cs="Arial"/>
        </w:rPr>
        <w:t xml:space="preserve">. </w:t>
      </w:r>
      <w:r w:rsidR="0005167A" w:rsidRPr="008F3B54">
        <w:rPr>
          <w:rFonts w:ascii="Arial" w:hAnsi="Arial" w:cs="Arial"/>
        </w:rPr>
        <w:t xml:space="preserve">Οι πελάτες καρτοκινητής αντιπροσωπεύουν το </w:t>
      </w:r>
      <w:r w:rsidR="0005167A" w:rsidRPr="008678DA">
        <w:rPr>
          <w:rFonts w:ascii="Arial" w:hAnsi="Arial" w:cs="Arial"/>
        </w:rPr>
        <w:t>5</w:t>
      </w:r>
      <w:r w:rsidR="007A1682">
        <w:rPr>
          <w:rFonts w:ascii="Arial" w:hAnsi="Arial" w:cs="Arial"/>
        </w:rPr>
        <w:t>6</w:t>
      </w:r>
      <w:r w:rsidR="0005167A" w:rsidRPr="008F3B54">
        <w:rPr>
          <w:rFonts w:ascii="Arial" w:hAnsi="Arial" w:cs="Arial"/>
        </w:rPr>
        <w:t>% της συνολικής βάσης κινητής</w:t>
      </w:r>
      <w:r w:rsidR="002E347D" w:rsidRPr="002E347D">
        <w:rPr>
          <w:rFonts w:ascii="Arial" w:hAnsi="Arial" w:cs="Arial"/>
        </w:rPr>
        <w:t xml:space="preserve"> - </w:t>
      </w:r>
      <w:r w:rsidR="002E347D" w:rsidRPr="007A1682">
        <w:rPr>
          <w:rFonts w:ascii="Arial" w:hAnsi="Arial" w:cs="Arial"/>
        </w:rPr>
        <w:t xml:space="preserve">ποσοστό </w:t>
      </w:r>
      <w:r w:rsidR="002E347D">
        <w:rPr>
          <w:rFonts w:ascii="Arial" w:hAnsi="Arial" w:cs="Arial"/>
        </w:rPr>
        <w:t>υψηλότερο</w:t>
      </w:r>
      <w:r w:rsidR="002E347D" w:rsidRPr="007A1682">
        <w:rPr>
          <w:rFonts w:ascii="Arial" w:hAnsi="Arial" w:cs="Arial"/>
        </w:rPr>
        <w:t xml:space="preserve"> από το</w:t>
      </w:r>
      <w:r w:rsidR="002E347D">
        <w:rPr>
          <w:rFonts w:ascii="Arial" w:hAnsi="Arial" w:cs="Arial"/>
        </w:rPr>
        <w:t xml:space="preserve">ν </w:t>
      </w:r>
      <w:r w:rsidR="002E347D" w:rsidRPr="007A1682">
        <w:rPr>
          <w:rFonts w:ascii="Arial" w:hAnsi="Arial" w:cs="Arial"/>
        </w:rPr>
        <w:t xml:space="preserve">ευρωπαϊκό </w:t>
      </w:r>
      <w:r w:rsidR="002E347D" w:rsidRPr="003C04C0">
        <w:rPr>
          <w:rFonts w:ascii="Arial" w:hAnsi="Arial" w:cs="Arial"/>
        </w:rPr>
        <w:t xml:space="preserve">μέσο όρο </w:t>
      </w:r>
      <w:r w:rsidR="002E347D" w:rsidRPr="002E347D">
        <w:rPr>
          <w:rFonts w:ascii="Arial" w:hAnsi="Arial" w:cs="Arial"/>
        </w:rPr>
        <w:t xml:space="preserve"> -</w:t>
      </w:r>
      <w:r w:rsidR="0005167A" w:rsidRPr="008F3B54">
        <w:rPr>
          <w:rFonts w:ascii="Arial" w:hAnsi="Arial" w:cs="Arial"/>
        </w:rPr>
        <w:t xml:space="preserve"> </w:t>
      </w:r>
      <w:r w:rsidR="007A1682" w:rsidRPr="003C04C0">
        <w:rPr>
          <w:rFonts w:ascii="Arial" w:hAnsi="Arial" w:cs="Arial"/>
        </w:rPr>
        <w:t>γ</w:t>
      </w:r>
      <w:r w:rsidR="0005167A" w:rsidRPr="003C04C0">
        <w:rPr>
          <w:rFonts w:ascii="Arial" w:hAnsi="Arial" w:cs="Arial"/>
        </w:rPr>
        <w:t>εγονός που καταδεικνύει ότι υπάρχει περιθώριο για περαιτέρω αναβαθμίσεις σε συμβόλαια.</w:t>
      </w:r>
      <w:r w:rsidR="00137B29" w:rsidRPr="003C04C0">
        <w:t xml:space="preserve"> </w:t>
      </w:r>
      <w:r w:rsidR="00137B29" w:rsidRPr="003C04C0">
        <w:rPr>
          <w:rFonts w:ascii="Arial" w:hAnsi="Arial" w:cs="Arial"/>
        </w:rPr>
        <w:t>Η δυναμική</w:t>
      </w:r>
      <w:r w:rsidR="007D5CD3">
        <w:rPr>
          <w:rFonts w:ascii="Arial" w:hAnsi="Arial" w:cs="Arial"/>
        </w:rPr>
        <w:t xml:space="preserve"> της κινητής</w:t>
      </w:r>
      <w:r w:rsidR="00137B29" w:rsidRPr="003C04C0">
        <w:rPr>
          <w:rFonts w:ascii="Arial" w:hAnsi="Arial" w:cs="Arial"/>
        </w:rPr>
        <w:t xml:space="preserve"> υποστηρίζεται από την υπεροχή του δικτύου, τις ελκυστικές υπηρεσίες που προσφέρει και την </w:t>
      </w:r>
      <w:r w:rsidR="007520F7">
        <w:rPr>
          <w:rFonts w:ascii="Arial" w:hAnsi="Arial" w:cs="Arial"/>
        </w:rPr>
        <w:t>δυνατότητα</w:t>
      </w:r>
      <w:r w:rsidR="007520F7" w:rsidRPr="003C04C0">
        <w:rPr>
          <w:rFonts w:ascii="Arial" w:hAnsi="Arial" w:cs="Arial"/>
        </w:rPr>
        <w:t xml:space="preserve"> </w:t>
      </w:r>
      <w:r w:rsidR="00137B29" w:rsidRPr="003C04C0">
        <w:rPr>
          <w:rFonts w:ascii="Arial" w:hAnsi="Arial" w:cs="Arial"/>
        </w:rPr>
        <w:t xml:space="preserve">της Εταιρείας να </w:t>
      </w:r>
      <w:r w:rsidR="006971BA">
        <w:rPr>
          <w:rFonts w:ascii="Arial" w:hAnsi="Arial" w:cs="Arial"/>
        </w:rPr>
        <w:t>προσφέρει</w:t>
      </w:r>
      <w:r w:rsidR="00137B29" w:rsidRPr="003C04C0">
        <w:rPr>
          <w:rFonts w:ascii="Arial" w:hAnsi="Arial" w:cs="Arial"/>
        </w:rPr>
        <w:t xml:space="preserve"> </w:t>
      </w:r>
      <w:r w:rsidR="006971BA">
        <w:rPr>
          <w:rFonts w:ascii="Arial" w:hAnsi="Arial" w:cs="Arial"/>
        </w:rPr>
        <w:t xml:space="preserve">συνδυαστικά </w:t>
      </w:r>
      <w:r w:rsidR="00137B29" w:rsidRPr="003C04C0">
        <w:rPr>
          <w:rFonts w:ascii="Arial" w:hAnsi="Arial" w:cs="Arial"/>
        </w:rPr>
        <w:t>πακέτ</w:t>
      </w:r>
      <w:r w:rsidR="006971BA">
        <w:rPr>
          <w:rFonts w:ascii="Arial" w:hAnsi="Arial" w:cs="Arial"/>
        </w:rPr>
        <w:t>α</w:t>
      </w:r>
      <w:r w:rsidR="00137B29" w:rsidRPr="003C04C0">
        <w:rPr>
          <w:rFonts w:ascii="Arial" w:hAnsi="Arial" w:cs="Arial"/>
        </w:rPr>
        <w:t xml:space="preserve"> κινητής, σταθερής</w:t>
      </w:r>
      <w:r w:rsidR="007520F7">
        <w:rPr>
          <w:rFonts w:ascii="Arial" w:hAnsi="Arial" w:cs="Arial"/>
        </w:rPr>
        <w:t xml:space="preserve">, </w:t>
      </w:r>
      <w:r w:rsidR="00137B29" w:rsidRPr="003C04C0">
        <w:rPr>
          <w:rFonts w:ascii="Arial" w:hAnsi="Arial" w:cs="Arial"/>
        </w:rPr>
        <w:t>τηλεόρασης</w:t>
      </w:r>
      <w:r w:rsidR="006971BA">
        <w:rPr>
          <w:rFonts w:ascii="Arial" w:hAnsi="Arial" w:cs="Arial"/>
        </w:rPr>
        <w:t xml:space="preserve"> </w:t>
      </w:r>
      <w:r w:rsidR="007520F7">
        <w:rPr>
          <w:rFonts w:ascii="Arial" w:hAnsi="Arial" w:cs="Arial"/>
        </w:rPr>
        <w:t xml:space="preserve">και </w:t>
      </w:r>
      <w:r w:rsidR="007520F7" w:rsidRPr="007520F7">
        <w:rPr>
          <w:rFonts w:ascii="Arial" w:hAnsi="Arial" w:cs="Arial"/>
        </w:rPr>
        <w:t xml:space="preserve">ψηφιακών υπηρεσιών προστιθέμενης </w:t>
      </w:r>
      <w:r w:rsidR="00137B29" w:rsidRPr="007520F7" w:rsidDel="007520F7">
        <w:rPr>
          <w:rFonts w:ascii="Arial" w:hAnsi="Arial" w:cs="Arial"/>
        </w:rPr>
        <w:t>αξίας</w:t>
      </w:r>
      <w:r w:rsidR="00137B29" w:rsidRPr="007520F7">
        <w:rPr>
          <w:rFonts w:ascii="Arial" w:hAnsi="Arial" w:cs="Arial"/>
        </w:rPr>
        <w:t>.</w:t>
      </w:r>
    </w:p>
    <w:p w14:paraId="319806BD" w14:textId="6F0158CE" w:rsidR="00B96041" w:rsidRDefault="003A74FA" w:rsidP="00225DF7">
      <w:pPr>
        <w:spacing w:line="280" w:lineRule="exact"/>
        <w:jc w:val="both"/>
        <w:rPr>
          <w:rFonts w:ascii="Arial" w:hAnsi="Arial" w:cs="Arial"/>
        </w:rPr>
      </w:pPr>
      <w:r>
        <w:rPr>
          <w:rFonts w:ascii="Arial" w:hAnsi="Arial" w:cs="Arial"/>
        </w:rPr>
        <w:t xml:space="preserve">Ο </w:t>
      </w:r>
      <w:r w:rsidR="00F53CDA" w:rsidRPr="0045230B">
        <w:rPr>
          <w:rFonts w:ascii="Arial" w:hAnsi="Arial" w:cs="Arial"/>
        </w:rPr>
        <w:t xml:space="preserve">ΟΤΕ συνεχίζει να προωθεί τη χρήση δεδομένων μέσω των δικτύων του, με τη μέση </w:t>
      </w:r>
      <w:r w:rsidR="00274D1D">
        <w:rPr>
          <w:rFonts w:ascii="Arial" w:hAnsi="Arial" w:cs="Arial"/>
        </w:rPr>
        <w:t xml:space="preserve">μηνιαία </w:t>
      </w:r>
      <w:r w:rsidR="00F53CDA" w:rsidRPr="0045230B">
        <w:rPr>
          <w:rFonts w:ascii="Arial" w:hAnsi="Arial" w:cs="Arial"/>
        </w:rPr>
        <w:t>χρήση</w:t>
      </w:r>
      <w:r w:rsidR="00F53CDA" w:rsidRPr="0045230B" w:rsidDel="00371658">
        <w:rPr>
          <w:rFonts w:ascii="Arial" w:hAnsi="Arial" w:cs="Arial"/>
        </w:rPr>
        <w:t xml:space="preserve"> </w:t>
      </w:r>
      <w:r w:rsidR="00F53CDA" w:rsidRPr="0045230B">
        <w:rPr>
          <w:rFonts w:ascii="Arial" w:hAnsi="Arial" w:cs="Arial"/>
        </w:rPr>
        <w:t xml:space="preserve">να </w:t>
      </w:r>
      <w:r w:rsidR="00DA0D15">
        <w:rPr>
          <w:rFonts w:ascii="Arial" w:hAnsi="Arial" w:cs="Arial"/>
        </w:rPr>
        <w:t>διαμορφώνεται</w:t>
      </w:r>
      <w:r w:rsidR="00DA0D15" w:rsidRPr="0045230B">
        <w:rPr>
          <w:rFonts w:ascii="Arial" w:hAnsi="Arial" w:cs="Arial"/>
        </w:rPr>
        <w:t xml:space="preserve"> </w:t>
      </w:r>
      <w:r w:rsidR="0045230B" w:rsidRPr="0045230B">
        <w:rPr>
          <w:rFonts w:ascii="Arial" w:hAnsi="Arial" w:cs="Arial"/>
        </w:rPr>
        <w:t>σ</w:t>
      </w:r>
      <w:r w:rsidR="00F53CDA" w:rsidRPr="0045230B">
        <w:rPr>
          <w:rFonts w:ascii="Arial" w:hAnsi="Arial" w:cs="Arial"/>
        </w:rPr>
        <w:t>τα 1</w:t>
      </w:r>
      <w:r w:rsidR="00F45AB0">
        <w:rPr>
          <w:rFonts w:ascii="Arial" w:hAnsi="Arial" w:cs="Arial"/>
        </w:rPr>
        <w:t>9</w:t>
      </w:r>
      <w:r w:rsidR="00F53CDA" w:rsidRPr="0045230B">
        <w:rPr>
          <w:rFonts w:ascii="Arial" w:hAnsi="Arial" w:cs="Arial"/>
        </w:rPr>
        <w:t xml:space="preserve">,3GB στο τρίμηνο, αυξημένη κατά </w:t>
      </w:r>
      <w:r w:rsidR="00F45AB0">
        <w:rPr>
          <w:rFonts w:ascii="Arial" w:hAnsi="Arial" w:cs="Arial"/>
        </w:rPr>
        <w:t>22</w:t>
      </w:r>
      <w:r w:rsidR="00F53CDA" w:rsidRPr="0045230B">
        <w:rPr>
          <w:rFonts w:ascii="Arial" w:hAnsi="Arial" w:cs="Arial"/>
        </w:rPr>
        <w:t>% σε ετήσια βάση. Παράλληλα, η διείσδυση συσκευών 5G στη συνολική ενεργή βάση αυξήθηκε κατά 1</w:t>
      </w:r>
      <w:r w:rsidR="00F45AB0">
        <w:rPr>
          <w:rFonts w:ascii="Arial" w:hAnsi="Arial" w:cs="Arial"/>
        </w:rPr>
        <w:t>1</w:t>
      </w:r>
      <w:r w:rsidR="00F53CDA" w:rsidRPr="0045230B">
        <w:rPr>
          <w:rFonts w:ascii="Arial" w:hAnsi="Arial" w:cs="Arial"/>
        </w:rPr>
        <w:t xml:space="preserve"> ποσοστιαίες μονάδες σε σύγκριση με το προηγούμενο έτος, φτάνοντας το 4</w:t>
      </w:r>
      <w:r w:rsidR="00F13903">
        <w:rPr>
          <w:rFonts w:ascii="Arial" w:hAnsi="Arial" w:cs="Arial"/>
        </w:rPr>
        <w:t>7</w:t>
      </w:r>
      <w:r w:rsidR="00F53CDA" w:rsidRPr="0045230B">
        <w:rPr>
          <w:rFonts w:ascii="Arial" w:hAnsi="Arial" w:cs="Arial"/>
        </w:rPr>
        <w:t>%</w:t>
      </w:r>
      <w:r w:rsidR="00FB13B1">
        <w:rPr>
          <w:rFonts w:ascii="Arial" w:hAnsi="Arial" w:cs="Arial"/>
        </w:rPr>
        <w:t>.</w:t>
      </w:r>
    </w:p>
    <w:p w14:paraId="20110F91" w14:textId="036D9CD3" w:rsidR="00BD414F" w:rsidRPr="00C13168" w:rsidRDefault="002332FB" w:rsidP="000616FB">
      <w:pPr>
        <w:spacing w:line="280" w:lineRule="exact"/>
        <w:jc w:val="both"/>
        <w:rPr>
          <w:rFonts w:ascii="Arial" w:hAnsi="Arial" w:cs="Arial"/>
          <w:szCs w:val="20"/>
        </w:rPr>
      </w:pPr>
      <w:r>
        <w:rPr>
          <w:rFonts w:ascii="Arial" w:hAnsi="Arial" w:cs="Arial"/>
        </w:rPr>
        <w:t>Ο</w:t>
      </w:r>
      <w:r w:rsidR="00496DE3" w:rsidRPr="00496DE3">
        <w:rPr>
          <w:rFonts w:ascii="Arial" w:hAnsi="Arial" w:cs="Arial"/>
        </w:rPr>
        <w:t xml:space="preserve"> ΟΤΕ </w:t>
      </w:r>
      <w:r>
        <w:rPr>
          <w:rFonts w:ascii="Arial" w:hAnsi="Arial" w:cs="Arial"/>
        </w:rPr>
        <w:t xml:space="preserve">συνεχίζει να </w:t>
      </w:r>
      <w:r w:rsidR="00496DE3" w:rsidRPr="00496DE3">
        <w:rPr>
          <w:rFonts w:ascii="Arial" w:hAnsi="Arial" w:cs="Arial"/>
        </w:rPr>
        <w:t>επενδύει στην επέκταση και την αναβάθμιση του δικτύου κινητής τηλεφωνίας</w:t>
      </w:r>
      <w:r w:rsidR="00B930AD">
        <w:rPr>
          <w:rFonts w:ascii="Arial" w:hAnsi="Arial" w:cs="Arial"/>
        </w:rPr>
        <w:t xml:space="preserve"> </w:t>
      </w:r>
      <w:r w:rsidR="00B71AF8">
        <w:rPr>
          <w:rFonts w:ascii="Arial" w:hAnsi="Arial" w:cs="Arial"/>
        </w:rPr>
        <w:t xml:space="preserve">ενισχύοντας την ανθεκτικότητα και την </w:t>
      </w:r>
      <w:r w:rsidR="00AA5B5F" w:rsidRPr="00496DE3">
        <w:rPr>
          <w:rFonts w:ascii="Arial" w:hAnsi="Arial" w:cs="Arial"/>
        </w:rPr>
        <w:t>αξιοπιστία</w:t>
      </w:r>
      <w:r w:rsidR="00FC578E">
        <w:rPr>
          <w:rFonts w:ascii="Arial" w:hAnsi="Arial" w:cs="Arial"/>
        </w:rPr>
        <w:t xml:space="preserve"> του</w:t>
      </w:r>
      <w:r w:rsidR="00B930AD">
        <w:rPr>
          <w:rFonts w:ascii="Arial" w:hAnsi="Arial" w:cs="Arial"/>
        </w:rPr>
        <w:t xml:space="preserve">, </w:t>
      </w:r>
      <w:r w:rsidR="00FC578E">
        <w:rPr>
          <w:rFonts w:ascii="Arial" w:hAnsi="Arial" w:cs="Arial"/>
        </w:rPr>
        <w:t xml:space="preserve">γεγονός που υποστηρίζει </w:t>
      </w:r>
      <w:r w:rsidR="00AA5B5F" w:rsidRPr="00496DE3">
        <w:rPr>
          <w:rFonts w:ascii="Arial" w:hAnsi="Arial" w:cs="Arial"/>
        </w:rPr>
        <w:t>τη μακροπρόθεσμη ανάπτυξ</w:t>
      </w:r>
      <w:r w:rsidR="00FC578E">
        <w:rPr>
          <w:rFonts w:ascii="Arial" w:hAnsi="Arial" w:cs="Arial"/>
        </w:rPr>
        <w:t>η</w:t>
      </w:r>
      <w:r w:rsidR="00AA5B5F" w:rsidRPr="00496DE3">
        <w:rPr>
          <w:rFonts w:ascii="Arial" w:hAnsi="Arial" w:cs="Arial"/>
        </w:rPr>
        <w:t>, αλλά και</w:t>
      </w:r>
      <w:r w:rsidR="00FC578E">
        <w:rPr>
          <w:rFonts w:ascii="Arial" w:hAnsi="Arial" w:cs="Arial"/>
        </w:rPr>
        <w:t xml:space="preserve"> την </w:t>
      </w:r>
      <w:r w:rsidR="00AA5B5F" w:rsidRPr="00496DE3">
        <w:rPr>
          <w:rFonts w:ascii="Arial" w:hAnsi="Arial" w:cs="Arial"/>
        </w:rPr>
        <w:t xml:space="preserve">άριστη εμπειρία πελάτη. </w:t>
      </w:r>
      <w:r w:rsidR="0038786E" w:rsidRPr="00496DE3">
        <w:rPr>
          <w:rFonts w:ascii="Arial" w:hAnsi="Arial" w:cs="Arial"/>
        </w:rPr>
        <w:t xml:space="preserve">Η </w:t>
      </w:r>
      <w:r w:rsidR="0038786E" w:rsidRPr="005453F5">
        <w:rPr>
          <w:rFonts w:ascii="Arial" w:hAnsi="Arial" w:cs="Arial"/>
        </w:rPr>
        <w:t>πληθυσμιακή κάλυψη του</w:t>
      </w:r>
      <w:hyperlink r:id="rId12" w:history="1">
        <w:r w:rsidR="00A602C0" w:rsidRPr="005453F5">
          <w:rPr>
            <w:rFonts w:ascii="Arial" w:hAnsi="Arial" w:cs="Arial"/>
          </w:rPr>
          <w:t xml:space="preserve"> δικτύου </w:t>
        </w:r>
        <w:r w:rsidR="00297B7E" w:rsidRPr="005453F5">
          <w:rPr>
            <w:rFonts w:ascii="Arial" w:hAnsi="Arial" w:cs="Arial"/>
          </w:rPr>
          <w:t>5</w:t>
        </w:r>
        <w:r w:rsidR="00297B7E" w:rsidRPr="00644126">
          <w:rPr>
            <w:rFonts w:ascii="Arial" w:hAnsi="Arial" w:cs="Arial"/>
          </w:rPr>
          <w:t>G</w:t>
        </w:r>
      </w:hyperlink>
      <w:r w:rsidR="0038786E" w:rsidRPr="005453F5">
        <w:rPr>
          <w:rFonts w:ascii="Arial" w:hAnsi="Arial" w:cs="Arial"/>
        </w:rPr>
        <w:t xml:space="preserve"> </w:t>
      </w:r>
      <w:r w:rsidR="00970C50">
        <w:rPr>
          <w:rFonts w:ascii="Arial" w:hAnsi="Arial" w:cs="Arial"/>
        </w:rPr>
        <w:t>ξεπερνά</w:t>
      </w:r>
      <w:r w:rsidR="005453F5" w:rsidRPr="005453F5">
        <w:rPr>
          <w:rFonts w:ascii="Arial" w:hAnsi="Arial" w:cs="Arial"/>
        </w:rPr>
        <w:t xml:space="preserve"> </w:t>
      </w:r>
      <w:r w:rsidR="0038786E" w:rsidRPr="005453F5">
        <w:rPr>
          <w:rFonts w:ascii="Arial" w:hAnsi="Arial" w:cs="Arial"/>
        </w:rPr>
        <w:t xml:space="preserve">το 99%, ενώ </w:t>
      </w:r>
      <w:r w:rsidR="00131BA2">
        <w:rPr>
          <w:rFonts w:ascii="Arial" w:hAnsi="Arial" w:cs="Arial"/>
        </w:rPr>
        <w:t>του</w:t>
      </w:r>
      <w:r w:rsidR="00131BA2" w:rsidRPr="005453F5">
        <w:rPr>
          <w:rFonts w:ascii="Arial" w:hAnsi="Arial" w:cs="Arial"/>
        </w:rPr>
        <w:t xml:space="preserve"> </w:t>
      </w:r>
      <w:r w:rsidR="006B3777" w:rsidRPr="005453F5">
        <w:rPr>
          <w:rFonts w:ascii="Arial" w:hAnsi="Arial" w:cs="Arial"/>
        </w:rPr>
        <w:t>δ</w:t>
      </w:r>
      <w:r w:rsidR="00131BA2">
        <w:rPr>
          <w:rFonts w:ascii="Arial" w:hAnsi="Arial" w:cs="Arial"/>
        </w:rPr>
        <w:t>ικτύου</w:t>
      </w:r>
      <w:r w:rsidR="006B3777" w:rsidRPr="005453F5">
        <w:rPr>
          <w:rFonts w:ascii="Arial" w:hAnsi="Arial" w:cs="Arial"/>
        </w:rPr>
        <w:t xml:space="preserve"> </w:t>
      </w:r>
      <w:r w:rsidR="0038786E" w:rsidRPr="005453F5">
        <w:rPr>
          <w:rFonts w:ascii="Arial" w:hAnsi="Arial" w:cs="Arial"/>
        </w:rPr>
        <w:t>5</w:t>
      </w:r>
      <w:r w:rsidR="0038786E" w:rsidRPr="00644126">
        <w:rPr>
          <w:rFonts w:ascii="Arial" w:hAnsi="Arial" w:cs="Arial"/>
        </w:rPr>
        <w:t>G</w:t>
      </w:r>
      <w:r w:rsidR="0038786E" w:rsidRPr="005453F5">
        <w:rPr>
          <w:rFonts w:ascii="Arial" w:hAnsi="Arial" w:cs="Arial"/>
        </w:rPr>
        <w:t>+</w:t>
      </w:r>
      <w:r w:rsidR="00585AC3">
        <w:rPr>
          <w:rFonts w:ascii="Arial" w:hAnsi="Arial" w:cs="Arial"/>
        </w:rPr>
        <w:t xml:space="preserve"> </w:t>
      </w:r>
      <w:r w:rsidR="006B3777" w:rsidRPr="005453F5">
        <w:rPr>
          <w:rFonts w:ascii="Arial" w:hAnsi="Arial" w:cs="Arial"/>
        </w:rPr>
        <w:t>(5</w:t>
      </w:r>
      <w:r w:rsidR="006B3777" w:rsidRPr="00644126">
        <w:rPr>
          <w:rFonts w:ascii="Arial" w:hAnsi="Arial" w:cs="Arial"/>
        </w:rPr>
        <w:t>G</w:t>
      </w:r>
      <w:r w:rsidR="006B3777" w:rsidRPr="005453F5">
        <w:rPr>
          <w:rFonts w:ascii="Arial" w:hAnsi="Arial" w:cs="Arial"/>
        </w:rPr>
        <w:t xml:space="preserve"> </w:t>
      </w:r>
      <w:r w:rsidR="006B3777" w:rsidRPr="00644126">
        <w:rPr>
          <w:rFonts w:ascii="Arial" w:hAnsi="Arial" w:cs="Arial"/>
        </w:rPr>
        <w:t>Stand</w:t>
      </w:r>
      <w:r w:rsidR="006B3777" w:rsidRPr="005453F5">
        <w:rPr>
          <w:rFonts w:ascii="Arial" w:hAnsi="Arial" w:cs="Arial"/>
        </w:rPr>
        <w:t>-</w:t>
      </w:r>
      <w:r w:rsidR="006B3777" w:rsidRPr="00644126">
        <w:rPr>
          <w:rFonts w:ascii="Arial" w:hAnsi="Arial" w:cs="Arial"/>
        </w:rPr>
        <w:t>Alone</w:t>
      </w:r>
      <w:r w:rsidR="006B3777" w:rsidRPr="00F23F45">
        <w:rPr>
          <w:rFonts w:ascii="Arial" w:hAnsi="Arial" w:cs="Arial"/>
        </w:rPr>
        <w:t xml:space="preserve">) </w:t>
      </w:r>
      <w:r w:rsidR="00E55121" w:rsidRPr="00F23F45">
        <w:rPr>
          <w:rFonts w:ascii="Arial" w:hAnsi="Arial" w:cs="Arial"/>
        </w:rPr>
        <w:t>έχει ξεπεράσει</w:t>
      </w:r>
      <w:r w:rsidR="00E55121" w:rsidRPr="00F23F45">
        <w:rPr>
          <w:rFonts w:ascii="Arial" w:hAnsi="Arial" w:cs="Arial"/>
        </w:rPr>
        <w:t xml:space="preserve"> </w:t>
      </w:r>
      <w:r w:rsidR="006B3777" w:rsidRPr="00F23F45">
        <w:rPr>
          <w:rFonts w:ascii="Arial" w:hAnsi="Arial" w:cs="Arial"/>
        </w:rPr>
        <w:t xml:space="preserve">το </w:t>
      </w:r>
      <w:r w:rsidR="00E6762B" w:rsidRPr="00F23F45">
        <w:rPr>
          <w:rFonts w:ascii="Arial" w:hAnsi="Arial" w:cs="Arial"/>
        </w:rPr>
        <w:t>7</w:t>
      </w:r>
      <w:r w:rsidR="00F23F45" w:rsidRPr="00AA7E85">
        <w:rPr>
          <w:rFonts w:ascii="Arial" w:hAnsi="Arial" w:cs="Arial"/>
        </w:rPr>
        <w:t>9</w:t>
      </w:r>
      <w:r w:rsidR="006B3777" w:rsidRPr="00F23F45">
        <w:rPr>
          <w:rFonts w:ascii="Arial" w:hAnsi="Arial" w:cs="Arial"/>
        </w:rPr>
        <w:t xml:space="preserve">%. </w:t>
      </w:r>
      <w:r w:rsidR="00E603E8" w:rsidRPr="00F23F45">
        <w:rPr>
          <w:rFonts w:ascii="Arial" w:hAnsi="Arial" w:cs="Arial"/>
        </w:rPr>
        <w:t>Οι διακρίσεις από Ookla</w:t>
      </w:r>
      <w:r w:rsidR="00F23F45" w:rsidRPr="00F23F45">
        <w:rPr>
          <w:rFonts w:ascii="Arial" w:hAnsi="Arial" w:cs="Arial"/>
        </w:rPr>
        <w:t>,</w:t>
      </w:r>
      <w:r w:rsidR="00E603E8" w:rsidRPr="00F23F45">
        <w:rPr>
          <w:rFonts w:ascii="Arial" w:hAnsi="Arial" w:cs="Arial"/>
        </w:rPr>
        <w:t xml:space="preserve"> umlaut</w:t>
      </w:r>
      <w:r w:rsidR="00922DF5" w:rsidRPr="00F23F45">
        <w:rPr>
          <w:rFonts w:ascii="Arial" w:hAnsi="Arial" w:cs="Arial"/>
        </w:rPr>
        <w:t xml:space="preserve"> </w:t>
      </w:r>
      <w:r w:rsidR="00E603E8" w:rsidRPr="00F23F45">
        <w:rPr>
          <w:rFonts w:ascii="Arial" w:hAnsi="Arial" w:cs="Arial"/>
        </w:rPr>
        <w:t xml:space="preserve"> </w:t>
      </w:r>
      <w:r w:rsidR="00F23F45" w:rsidRPr="00F23F45">
        <w:rPr>
          <w:rFonts w:ascii="Arial" w:hAnsi="Arial" w:cs="Arial"/>
        </w:rPr>
        <w:t>και Opensignal</w:t>
      </w:r>
      <w:r w:rsidR="00E603E8" w:rsidRPr="00F23F45">
        <w:rPr>
          <w:rFonts w:ascii="Arial" w:hAnsi="Arial" w:cs="Arial"/>
        </w:rPr>
        <w:t xml:space="preserve"> επιβεβαιώνουν την</w:t>
      </w:r>
      <w:r w:rsidR="000616FB" w:rsidRPr="00F23F45">
        <w:rPr>
          <w:rFonts w:ascii="Arial" w:hAnsi="Arial" w:cs="Arial"/>
        </w:rPr>
        <w:t xml:space="preserve"> ποιότητα και αξιοπιστία των δικτυών του</w:t>
      </w:r>
      <w:r w:rsidR="000616FB" w:rsidRPr="00F32789">
        <w:rPr>
          <w:rFonts w:ascii="Arial" w:hAnsi="Arial" w:cs="Arial"/>
          <w:szCs w:val="20"/>
        </w:rPr>
        <w:t xml:space="preserve"> ΟΤΕ</w:t>
      </w:r>
      <w:r w:rsidR="000616FB" w:rsidRPr="000616FB">
        <w:rPr>
          <w:rFonts w:ascii="Arial" w:hAnsi="Arial" w:cs="Arial"/>
          <w:szCs w:val="20"/>
        </w:rPr>
        <w:t xml:space="preserve">, </w:t>
      </w:r>
      <w:r w:rsidR="000616FB" w:rsidRPr="00F32789">
        <w:rPr>
          <w:rFonts w:ascii="Arial" w:hAnsi="Arial" w:cs="Arial"/>
          <w:szCs w:val="20"/>
        </w:rPr>
        <w:t>ενισχύο</w:t>
      </w:r>
      <w:r w:rsidR="00367491">
        <w:rPr>
          <w:rFonts w:ascii="Arial" w:hAnsi="Arial" w:cs="Arial"/>
          <w:szCs w:val="20"/>
        </w:rPr>
        <w:t>ντας</w:t>
      </w:r>
      <w:r w:rsidR="000616FB" w:rsidRPr="00F32789">
        <w:rPr>
          <w:rFonts w:ascii="Arial" w:hAnsi="Arial" w:cs="Arial"/>
          <w:szCs w:val="20"/>
        </w:rPr>
        <w:t xml:space="preserve"> την πιστότητα των πελατών</w:t>
      </w:r>
      <w:r w:rsidR="00367491">
        <w:rPr>
          <w:rFonts w:ascii="Arial" w:hAnsi="Arial" w:cs="Arial"/>
          <w:szCs w:val="20"/>
        </w:rPr>
        <w:t xml:space="preserve">, την αναπτυξιακή </w:t>
      </w:r>
      <w:r w:rsidR="000616FB" w:rsidRPr="00F32789">
        <w:rPr>
          <w:rFonts w:ascii="Arial" w:hAnsi="Arial" w:cs="Arial"/>
          <w:szCs w:val="20"/>
        </w:rPr>
        <w:t xml:space="preserve">δυναμική </w:t>
      </w:r>
      <w:r w:rsidR="00367491">
        <w:rPr>
          <w:rFonts w:ascii="Arial" w:hAnsi="Arial" w:cs="Arial"/>
          <w:szCs w:val="20"/>
        </w:rPr>
        <w:t>και τη διαφοροποίηση</w:t>
      </w:r>
      <w:r w:rsidR="000616FB" w:rsidRPr="00F32789">
        <w:rPr>
          <w:rFonts w:ascii="Arial" w:hAnsi="Arial" w:cs="Arial"/>
          <w:szCs w:val="20"/>
        </w:rPr>
        <w:t xml:space="preserve"> έναντι του ανταγωνισμού</w:t>
      </w:r>
      <w:r w:rsidR="000616FB">
        <w:rPr>
          <w:rFonts w:ascii="Arial" w:hAnsi="Arial" w:cs="Arial"/>
          <w:szCs w:val="20"/>
        </w:rPr>
        <w:t>.</w:t>
      </w:r>
      <w:r w:rsidR="000616FB" w:rsidRPr="000616FB">
        <w:rPr>
          <w:rFonts w:ascii="Arial" w:hAnsi="Arial" w:cs="Arial"/>
          <w:szCs w:val="20"/>
        </w:rPr>
        <w:t xml:space="preserve"> </w:t>
      </w:r>
    </w:p>
    <w:p w14:paraId="38545674" w14:textId="77777777" w:rsidR="009329C2" w:rsidRPr="00C13168" w:rsidRDefault="009329C2" w:rsidP="000616FB">
      <w:pPr>
        <w:spacing w:line="280" w:lineRule="exact"/>
        <w:jc w:val="both"/>
        <w:rPr>
          <w:rFonts w:ascii="Arial" w:hAnsi="Arial" w:cs="Arial"/>
          <w:szCs w:val="20"/>
        </w:rPr>
      </w:pPr>
    </w:p>
    <w:p w14:paraId="571FCE3B" w14:textId="77777777" w:rsidR="009329C2" w:rsidRPr="00C13168" w:rsidRDefault="009329C2" w:rsidP="000616FB">
      <w:pPr>
        <w:spacing w:line="280" w:lineRule="exact"/>
        <w:jc w:val="both"/>
        <w:rPr>
          <w:rFonts w:ascii="Arial" w:hAnsi="Arial" w:cs="Arial"/>
          <w:szCs w:val="20"/>
        </w:rPr>
      </w:pPr>
    </w:p>
    <w:p w14:paraId="62BE41FE" w14:textId="77777777" w:rsidR="00182978" w:rsidRPr="002C2F06" w:rsidRDefault="00182978" w:rsidP="005376F7">
      <w:pPr>
        <w:pStyle w:val="Tittle2"/>
        <w:rPr>
          <w:rFonts w:cs="Arial"/>
          <w:lang w:val="el-GR"/>
        </w:rPr>
      </w:pPr>
    </w:p>
    <w:p w14:paraId="6D82416D" w14:textId="3A6EB32A" w:rsidR="00422924" w:rsidRPr="00F14819" w:rsidRDefault="00422924" w:rsidP="005376F7">
      <w:pPr>
        <w:pStyle w:val="Tittle2"/>
        <w:rPr>
          <w:rFonts w:cs="Arial"/>
          <w:b w:val="0"/>
          <w:color w:val="FF0000"/>
          <w:szCs w:val="24"/>
          <w:lang w:val="el-GR"/>
        </w:rPr>
      </w:pPr>
      <w:r w:rsidRPr="00FB20CB">
        <w:rPr>
          <w:rFonts w:cs="Arial"/>
          <w:lang w:val="el-GR"/>
        </w:rPr>
        <w:lastRenderedPageBreak/>
        <w:t>ΓΕΓΟΝΟΤΑ</w:t>
      </w:r>
      <w:r w:rsidRPr="0055036F">
        <w:rPr>
          <w:rFonts w:cs="Arial"/>
          <w:color w:val="00B0F0"/>
          <w:szCs w:val="24"/>
          <w:lang w:val="el-GR"/>
        </w:rPr>
        <w:t xml:space="preserve"> </w:t>
      </w:r>
      <w:r w:rsidRPr="00FB20CB">
        <w:rPr>
          <w:rFonts w:cs="Arial"/>
          <w:lang w:val="el-GR"/>
        </w:rPr>
        <w:t>ΤΡΙΜΗΝΟΥ</w:t>
      </w:r>
      <w:r w:rsidR="00F14819">
        <w:rPr>
          <w:rFonts w:cs="Arial"/>
          <w:lang w:val="el-GR"/>
        </w:rPr>
        <w:t xml:space="preserve"> </w:t>
      </w:r>
    </w:p>
    <w:p w14:paraId="0F6A5163" w14:textId="77777777" w:rsidR="00052D5A" w:rsidRPr="0058466F" w:rsidRDefault="00052D5A" w:rsidP="00EB0B83">
      <w:pPr>
        <w:spacing w:after="0" w:line="240" w:lineRule="auto"/>
        <w:jc w:val="both"/>
        <w:rPr>
          <w:rFonts w:ascii="Arial" w:eastAsia="Times New Roman" w:hAnsi="Arial" w:cs="Arial"/>
          <w:b/>
          <w:color w:val="000000" w:themeColor="text1"/>
        </w:rPr>
      </w:pPr>
      <w:r w:rsidRPr="0058466F">
        <w:rPr>
          <w:rFonts w:ascii="Arial" w:eastAsia="Times New Roman" w:hAnsi="Arial" w:cs="Arial"/>
          <w:b/>
          <w:color w:val="000000" w:themeColor="text1"/>
        </w:rPr>
        <w:t xml:space="preserve">Ο ΟΤΕ απέκτησε το 100% των μετοχών της </w:t>
      </w:r>
      <w:r w:rsidRPr="00EB0B83">
        <w:rPr>
          <w:rFonts w:ascii="Arial" w:eastAsia="Times New Roman" w:hAnsi="Arial" w:cs="Arial"/>
          <w:b/>
          <w:color w:val="000000" w:themeColor="text1"/>
          <w:lang w:val="en-US"/>
        </w:rPr>
        <w:t>TE</w:t>
      </w:r>
      <w:r w:rsidRPr="0058466F">
        <w:rPr>
          <w:rFonts w:ascii="Arial" w:eastAsia="Times New Roman" w:hAnsi="Arial" w:cs="Arial"/>
          <w:b/>
          <w:color w:val="000000" w:themeColor="text1"/>
        </w:rPr>
        <w:t>Ρ</w:t>
      </w:r>
      <w:r w:rsidRPr="00EB0B83">
        <w:rPr>
          <w:rFonts w:ascii="Arial" w:eastAsia="Times New Roman" w:hAnsi="Arial" w:cs="Arial"/>
          <w:b/>
          <w:color w:val="000000" w:themeColor="text1"/>
          <w:lang w:val="en-US"/>
        </w:rPr>
        <w:t>NA</w:t>
      </w:r>
      <w:r w:rsidRPr="0058466F">
        <w:rPr>
          <w:rFonts w:ascii="Arial" w:eastAsia="Times New Roman" w:hAnsi="Arial" w:cs="Arial"/>
          <w:b/>
          <w:color w:val="000000" w:themeColor="text1"/>
        </w:rPr>
        <w:t xml:space="preserve"> </w:t>
      </w:r>
      <w:r w:rsidRPr="00EB0B83">
        <w:rPr>
          <w:rFonts w:ascii="Arial" w:eastAsia="Times New Roman" w:hAnsi="Arial" w:cs="Arial"/>
          <w:b/>
          <w:color w:val="000000" w:themeColor="text1"/>
          <w:lang w:val="en-US"/>
        </w:rPr>
        <w:t>FIBER</w:t>
      </w:r>
      <w:r w:rsidRPr="0058466F">
        <w:rPr>
          <w:rFonts w:ascii="Arial" w:eastAsia="Times New Roman" w:hAnsi="Arial" w:cs="Arial"/>
          <w:b/>
          <w:color w:val="000000" w:themeColor="text1"/>
        </w:rPr>
        <w:t xml:space="preserve"> Α.Ε. (μετονομάστηκε σε </w:t>
      </w:r>
      <w:r w:rsidRPr="00EB0B83">
        <w:rPr>
          <w:rFonts w:ascii="Arial" w:eastAsia="Times New Roman" w:hAnsi="Arial" w:cs="Arial"/>
          <w:b/>
          <w:color w:val="000000" w:themeColor="text1"/>
          <w:lang w:val="en-US"/>
        </w:rPr>
        <w:t>UltrafastOTE</w:t>
      </w:r>
      <w:r w:rsidRPr="0058466F">
        <w:rPr>
          <w:rFonts w:ascii="Arial" w:eastAsia="Times New Roman" w:hAnsi="Arial" w:cs="Arial"/>
          <w:b/>
          <w:color w:val="000000" w:themeColor="text1"/>
        </w:rPr>
        <w:t xml:space="preserve"> 2)</w:t>
      </w:r>
    </w:p>
    <w:p w14:paraId="7CC10D4A" w14:textId="29696A77" w:rsidR="00052D5A" w:rsidRPr="0058466F" w:rsidRDefault="00052D5A" w:rsidP="00EB0B83">
      <w:pPr>
        <w:spacing w:line="276" w:lineRule="auto"/>
        <w:jc w:val="both"/>
        <w:rPr>
          <w:rFonts w:ascii="Arial" w:eastAsia="Times New Roman" w:hAnsi="Arial" w:cs="Arial"/>
          <w:szCs w:val="20"/>
        </w:rPr>
      </w:pPr>
      <w:r w:rsidRPr="0058466F">
        <w:rPr>
          <w:rFonts w:ascii="Arial" w:eastAsia="Times New Roman" w:hAnsi="Arial" w:cs="Arial"/>
          <w:szCs w:val="20"/>
        </w:rPr>
        <w:t>Την 29</w:t>
      </w:r>
      <w:r w:rsidR="00E109F0">
        <w:rPr>
          <w:rFonts w:ascii="Arial" w:eastAsia="Times New Roman" w:hAnsi="Arial" w:cs="Arial"/>
          <w:szCs w:val="20"/>
        </w:rPr>
        <w:t>η</w:t>
      </w:r>
      <w:r w:rsidRPr="0058466F">
        <w:rPr>
          <w:rFonts w:ascii="Arial" w:eastAsia="Times New Roman" w:hAnsi="Arial" w:cs="Arial"/>
          <w:szCs w:val="20"/>
        </w:rPr>
        <w:t xml:space="preserve"> Ιανουαρίου 2026, η εταιρεία ΕΡΓΑ ΥΠΟΔΟΜΗΣ ΕΥΡΥΖΩΝΙΚΟΤΗΤΑΣ Μ.Α.Ε απέκτησε το υπόλοιπο 49,9% της </w:t>
      </w:r>
      <w:r w:rsidRPr="00EB0B83">
        <w:rPr>
          <w:rFonts w:ascii="Arial" w:eastAsia="Times New Roman" w:hAnsi="Arial" w:cs="Arial"/>
          <w:szCs w:val="20"/>
          <w:lang w:val="en-US"/>
        </w:rPr>
        <w:t>TE</w:t>
      </w:r>
      <w:r w:rsidRPr="0058466F">
        <w:rPr>
          <w:rFonts w:ascii="Arial" w:eastAsia="Times New Roman" w:hAnsi="Arial" w:cs="Arial"/>
          <w:szCs w:val="20"/>
        </w:rPr>
        <w:t>Ρ</w:t>
      </w:r>
      <w:r w:rsidRPr="00EB0B83">
        <w:rPr>
          <w:rFonts w:ascii="Arial" w:eastAsia="Times New Roman" w:hAnsi="Arial" w:cs="Arial"/>
          <w:szCs w:val="20"/>
          <w:lang w:val="en-US"/>
        </w:rPr>
        <w:t>NA</w:t>
      </w:r>
      <w:r w:rsidRPr="0058466F">
        <w:rPr>
          <w:rFonts w:ascii="Arial" w:eastAsia="Times New Roman" w:hAnsi="Arial" w:cs="Arial"/>
          <w:szCs w:val="20"/>
        </w:rPr>
        <w:t xml:space="preserve"> </w:t>
      </w:r>
      <w:r w:rsidRPr="00EB0B83">
        <w:rPr>
          <w:rFonts w:ascii="Arial" w:eastAsia="Times New Roman" w:hAnsi="Arial" w:cs="Arial"/>
          <w:szCs w:val="20"/>
          <w:lang w:val="en-US"/>
        </w:rPr>
        <w:t>FIBER</w:t>
      </w:r>
      <w:r w:rsidRPr="0058466F">
        <w:rPr>
          <w:rFonts w:ascii="Arial" w:eastAsia="Times New Roman" w:hAnsi="Arial" w:cs="Arial"/>
          <w:szCs w:val="20"/>
        </w:rPr>
        <w:t xml:space="preserve"> ΑΕ από την </w:t>
      </w:r>
      <w:r w:rsidRPr="00EB0B83">
        <w:rPr>
          <w:rFonts w:ascii="Arial" w:eastAsia="Times New Roman" w:hAnsi="Arial" w:cs="Arial"/>
          <w:szCs w:val="20"/>
          <w:lang w:val="en-US"/>
        </w:rPr>
        <w:t>GRID</w:t>
      </w:r>
      <w:r w:rsidRPr="0058466F">
        <w:rPr>
          <w:rFonts w:ascii="Arial" w:eastAsia="Times New Roman" w:hAnsi="Arial" w:cs="Arial"/>
          <w:szCs w:val="20"/>
        </w:rPr>
        <w:t xml:space="preserve"> </w:t>
      </w:r>
      <w:r w:rsidRPr="00EB0B83">
        <w:rPr>
          <w:rFonts w:ascii="Arial" w:eastAsia="Times New Roman" w:hAnsi="Arial" w:cs="Arial"/>
          <w:szCs w:val="20"/>
          <w:lang w:val="en-US"/>
        </w:rPr>
        <w:t>TELECOM</w:t>
      </w:r>
      <w:r w:rsidRPr="0058466F">
        <w:rPr>
          <w:rFonts w:ascii="Arial" w:eastAsia="Times New Roman" w:hAnsi="Arial" w:cs="Arial"/>
          <w:szCs w:val="20"/>
        </w:rPr>
        <w:t xml:space="preserve"> </w:t>
      </w:r>
      <w:r w:rsidRPr="00EB0B83">
        <w:rPr>
          <w:rFonts w:ascii="Arial" w:eastAsia="Times New Roman" w:hAnsi="Arial" w:cs="Arial"/>
          <w:szCs w:val="20"/>
          <w:lang w:val="en-US"/>
        </w:rPr>
        <w:t>M</w:t>
      </w:r>
      <w:r w:rsidRPr="0058466F">
        <w:rPr>
          <w:rFonts w:ascii="Arial" w:eastAsia="Times New Roman" w:hAnsi="Arial" w:cs="Arial"/>
          <w:szCs w:val="20"/>
        </w:rPr>
        <w:t>.</w:t>
      </w:r>
      <w:r w:rsidRPr="00EB0B83">
        <w:rPr>
          <w:rFonts w:ascii="Arial" w:eastAsia="Times New Roman" w:hAnsi="Arial" w:cs="Arial"/>
          <w:szCs w:val="20"/>
          <w:lang w:val="en-US"/>
        </w:rPr>
        <w:t>A</w:t>
      </w:r>
      <w:r w:rsidRPr="0058466F">
        <w:rPr>
          <w:rFonts w:ascii="Arial" w:eastAsia="Times New Roman" w:hAnsi="Arial" w:cs="Arial"/>
          <w:szCs w:val="20"/>
        </w:rPr>
        <w:t>.</w:t>
      </w:r>
      <w:r w:rsidRPr="00EB0B83">
        <w:rPr>
          <w:rFonts w:ascii="Arial" w:eastAsia="Times New Roman" w:hAnsi="Arial" w:cs="Arial"/>
          <w:szCs w:val="20"/>
          <w:lang w:val="en-US"/>
        </w:rPr>
        <w:t>E</w:t>
      </w:r>
      <w:r w:rsidRPr="0058466F">
        <w:rPr>
          <w:rFonts w:ascii="Arial" w:eastAsia="Times New Roman" w:hAnsi="Arial" w:cs="Arial"/>
          <w:szCs w:val="20"/>
        </w:rPr>
        <w:t>. Την 5</w:t>
      </w:r>
      <w:r w:rsidR="0024753F">
        <w:rPr>
          <w:rFonts w:ascii="Arial" w:eastAsia="Times New Roman" w:hAnsi="Arial" w:cs="Arial"/>
          <w:szCs w:val="20"/>
        </w:rPr>
        <w:t>η</w:t>
      </w:r>
      <w:r w:rsidRPr="0058466F">
        <w:rPr>
          <w:rFonts w:ascii="Arial" w:eastAsia="Times New Roman" w:hAnsi="Arial" w:cs="Arial"/>
          <w:szCs w:val="20"/>
        </w:rPr>
        <w:t xml:space="preserve"> Νοεμβρίου 2025, ο </w:t>
      </w:r>
      <w:r w:rsidRPr="00EB0B83">
        <w:rPr>
          <w:rFonts w:ascii="Arial" w:eastAsia="Times New Roman" w:hAnsi="Arial" w:cs="Arial"/>
          <w:szCs w:val="20"/>
          <w:lang w:val="en-US"/>
        </w:rPr>
        <w:t>OTE</w:t>
      </w:r>
      <w:r w:rsidRPr="0058466F">
        <w:rPr>
          <w:rFonts w:ascii="Arial" w:eastAsia="Times New Roman" w:hAnsi="Arial" w:cs="Arial"/>
          <w:szCs w:val="20"/>
        </w:rPr>
        <w:t xml:space="preserve"> είχε αποκτήσει από την ΓΕΚ ΤΕΡΝΑ Α.Ε, το 100% της θυγατρικής της εταιρείας ΕΡΓΑ ΥΠΟΔΟΜΗΣ ΕΥΡΥΖΩΝΙΚΟΤΗΤΑΣ Μ.Α.Ε, η οποία κατέχει το 50,1% των μετοχών της </w:t>
      </w:r>
      <w:r w:rsidRPr="00EB0B83">
        <w:rPr>
          <w:rFonts w:ascii="Arial" w:eastAsia="Times New Roman" w:hAnsi="Arial" w:cs="Arial"/>
          <w:szCs w:val="20"/>
          <w:lang w:val="en-US"/>
        </w:rPr>
        <w:t>TE</w:t>
      </w:r>
      <w:r w:rsidRPr="0058466F">
        <w:rPr>
          <w:rFonts w:ascii="Arial" w:eastAsia="Times New Roman" w:hAnsi="Arial" w:cs="Arial"/>
          <w:szCs w:val="20"/>
        </w:rPr>
        <w:t>Ρ</w:t>
      </w:r>
      <w:r w:rsidRPr="00EB0B83">
        <w:rPr>
          <w:rFonts w:ascii="Arial" w:eastAsia="Times New Roman" w:hAnsi="Arial" w:cs="Arial"/>
          <w:szCs w:val="20"/>
          <w:lang w:val="en-US"/>
        </w:rPr>
        <w:t>NA</w:t>
      </w:r>
      <w:r w:rsidRPr="0058466F">
        <w:rPr>
          <w:rFonts w:ascii="Arial" w:eastAsia="Times New Roman" w:hAnsi="Arial" w:cs="Arial"/>
          <w:szCs w:val="20"/>
        </w:rPr>
        <w:t xml:space="preserve"> </w:t>
      </w:r>
      <w:r w:rsidRPr="00EB0B83">
        <w:rPr>
          <w:rFonts w:ascii="Arial" w:eastAsia="Times New Roman" w:hAnsi="Arial" w:cs="Arial"/>
          <w:szCs w:val="20"/>
          <w:lang w:val="en-US"/>
        </w:rPr>
        <w:t>FIBER</w:t>
      </w:r>
      <w:r w:rsidRPr="0058466F">
        <w:rPr>
          <w:rFonts w:ascii="Arial" w:eastAsia="Times New Roman" w:hAnsi="Arial" w:cs="Arial"/>
          <w:szCs w:val="20"/>
        </w:rPr>
        <w:t xml:space="preserve"> </w:t>
      </w:r>
      <w:r w:rsidRPr="00EB0B83">
        <w:rPr>
          <w:rFonts w:ascii="Arial" w:eastAsia="Times New Roman" w:hAnsi="Arial" w:cs="Arial"/>
          <w:szCs w:val="20"/>
          <w:lang w:val="en-US"/>
        </w:rPr>
        <w:t>AE</w:t>
      </w:r>
      <w:r w:rsidRPr="0058466F">
        <w:rPr>
          <w:rFonts w:ascii="Arial" w:eastAsia="Times New Roman" w:hAnsi="Arial" w:cs="Arial"/>
          <w:szCs w:val="20"/>
        </w:rPr>
        <w:t xml:space="preserve">. Μετά την ολοκλήρωση των συναλλαγών, ο ΟΤΕ κατέχει, μέσω της 100% θυγατρικής του ΕΡΓΑ ΥΠΟΔΟΜΗΣ ΕΥΡΥΖΩΝΙΚΟΤΗΤΑΣ Μ.Α.Ε, το 100% των μετοχών της εταιρείας </w:t>
      </w:r>
      <w:r w:rsidRPr="00EB0B83">
        <w:rPr>
          <w:rFonts w:ascii="Arial" w:eastAsia="Times New Roman" w:hAnsi="Arial" w:cs="Arial"/>
          <w:szCs w:val="20"/>
          <w:lang w:val="en-US"/>
        </w:rPr>
        <w:t>TE</w:t>
      </w:r>
      <w:r w:rsidRPr="0058466F">
        <w:rPr>
          <w:rFonts w:ascii="Arial" w:eastAsia="Times New Roman" w:hAnsi="Arial" w:cs="Arial"/>
          <w:szCs w:val="20"/>
        </w:rPr>
        <w:t>Ρ</w:t>
      </w:r>
      <w:r w:rsidRPr="00EB0B83">
        <w:rPr>
          <w:rFonts w:ascii="Arial" w:eastAsia="Times New Roman" w:hAnsi="Arial" w:cs="Arial"/>
          <w:szCs w:val="20"/>
          <w:lang w:val="en-US"/>
        </w:rPr>
        <w:t>NA</w:t>
      </w:r>
      <w:r w:rsidRPr="0058466F">
        <w:rPr>
          <w:rFonts w:ascii="Arial" w:eastAsia="Times New Roman" w:hAnsi="Arial" w:cs="Arial"/>
          <w:szCs w:val="20"/>
        </w:rPr>
        <w:t xml:space="preserve"> </w:t>
      </w:r>
      <w:r w:rsidRPr="00EB0B83">
        <w:rPr>
          <w:rFonts w:ascii="Arial" w:eastAsia="Times New Roman" w:hAnsi="Arial" w:cs="Arial"/>
          <w:szCs w:val="20"/>
          <w:lang w:val="en-US"/>
        </w:rPr>
        <w:t>FIBER</w:t>
      </w:r>
      <w:r w:rsidRPr="0058466F">
        <w:rPr>
          <w:rFonts w:ascii="Arial" w:eastAsia="Times New Roman" w:hAnsi="Arial" w:cs="Arial"/>
          <w:szCs w:val="20"/>
        </w:rPr>
        <w:t xml:space="preserve"> ΑΕ. Οι συναλλαγές έλαβαν τις αντίστοιχες εγκρίσεις της Αναθέτουσας Αρχής του έργου.</w:t>
      </w:r>
    </w:p>
    <w:p w14:paraId="6270FB29" w14:textId="58714384" w:rsidR="00052D5A" w:rsidRPr="00EB0B83" w:rsidRDefault="00052D5A" w:rsidP="00EB0B83">
      <w:pPr>
        <w:spacing w:after="0" w:line="240" w:lineRule="auto"/>
        <w:jc w:val="both"/>
        <w:rPr>
          <w:rFonts w:ascii="Arial" w:eastAsia="Times New Roman" w:hAnsi="Arial" w:cs="Arial"/>
          <w:b/>
          <w:color w:val="000000" w:themeColor="text1"/>
        </w:rPr>
      </w:pPr>
      <w:r w:rsidRPr="00EB0B83">
        <w:rPr>
          <w:rFonts w:ascii="Arial" w:eastAsia="Times New Roman" w:hAnsi="Arial" w:cs="Arial"/>
          <w:b/>
          <w:color w:val="000000" w:themeColor="text1"/>
        </w:rPr>
        <w:t>Νέα Πολιτική Αμοιβών προς τους Μετόχους</w:t>
      </w:r>
    </w:p>
    <w:p w14:paraId="58745FF5" w14:textId="0CCBD634" w:rsidR="00052D5A" w:rsidRPr="0058466F" w:rsidRDefault="001127CD" w:rsidP="00EB0B83">
      <w:pPr>
        <w:spacing w:line="276" w:lineRule="auto"/>
        <w:jc w:val="both"/>
        <w:rPr>
          <w:rFonts w:ascii="Arial" w:eastAsia="Times New Roman" w:hAnsi="Arial" w:cs="Arial"/>
          <w:szCs w:val="20"/>
        </w:rPr>
      </w:pPr>
      <w:r w:rsidRPr="00EB0B83">
        <w:rPr>
          <w:rFonts w:ascii="Arial" w:eastAsia="Times New Roman" w:hAnsi="Arial" w:cs="Arial"/>
          <w:szCs w:val="20"/>
          <w:lang w:val="en-US"/>
        </w:rPr>
        <w:t>To</w:t>
      </w:r>
      <w:r w:rsidRPr="0058466F">
        <w:rPr>
          <w:rFonts w:ascii="Arial" w:eastAsia="Times New Roman" w:hAnsi="Arial" w:cs="Arial"/>
          <w:szCs w:val="20"/>
        </w:rPr>
        <w:t xml:space="preserve"> Διοικητικό Συμβούλιο της ΟΤΕ ΑΕ την 25</w:t>
      </w:r>
      <w:r w:rsidR="0024753F">
        <w:rPr>
          <w:rFonts w:ascii="Arial" w:eastAsia="Times New Roman" w:hAnsi="Arial" w:cs="Arial"/>
          <w:szCs w:val="20"/>
        </w:rPr>
        <w:t>η</w:t>
      </w:r>
      <w:r w:rsidRPr="0058466F">
        <w:rPr>
          <w:rFonts w:ascii="Arial" w:eastAsia="Times New Roman" w:hAnsi="Arial" w:cs="Arial"/>
          <w:szCs w:val="20"/>
        </w:rPr>
        <w:t xml:space="preserve"> Φεβρουαρίου 2026 ενέκρινε νέα Πολιτική Αμοιβών προς τους Μετόχους, ώστε να εξασφαλισθεί μεγαλύτερη διαφάνεια και ευελιξία, ευθυγραμμίζοντας την απόφαση για Πολιτική Αμοιβών με τις πραγματικές Ελεύθερες Ταμειακές Ροές αντί για τις προβλεπόμενες Ελεύθερες Ταμειακές Ροές.</w:t>
      </w:r>
    </w:p>
    <w:p w14:paraId="2FDA3F4C" w14:textId="0E25069E" w:rsidR="00820B34" w:rsidRPr="00EB0B83" w:rsidRDefault="00820B34" w:rsidP="00EB0B83">
      <w:pPr>
        <w:spacing w:after="0" w:line="240" w:lineRule="auto"/>
        <w:jc w:val="both"/>
        <w:rPr>
          <w:rFonts w:ascii="Arial" w:eastAsia="Times New Roman" w:hAnsi="Arial" w:cs="Arial"/>
          <w:b/>
          <w:color w:val="000000" w:themeColor="text1"/>
        </w:rPr>
      </w:pPr>
      <w:r w:rsidRPr="00EB0B83">
        <w:rPr>
          <w:rFonts w:ascii="Arial" w:eastAsia="Times New Roman" w:hAnsi="Arial" w:cs="Arial"/>
          <w:b/>
          <w:color w:val="000000" w:themeColor="text1"/>
        </w:rPr>
        <w:t>Πολιτική Αμοιβών προς τους Μετόχους</w:t>
      </w:r>
      <w:r w:rsidR="00F27C28" w:rsidRPr="00EB0B83">
        <w:rPr>
          <w:rFonts w:ascii="Arial" w:eastAsia="Times New Roman" w:hAnsi="Arial" w:cs="Arial"/>
          <w:b/>
          <w:color w:val="000000" w:themeColor="text1"/>
        </w:rPr>
        <w:t xml:space="preserve"> για το 2026</w:t>
      </w:r>
    </w:p>
    <w:p w14:paraId="62BB0F10" w14:textId="273067AC" w:rsidR="00820B34" w:rsidRPr="00AB3F8A" w:rsidRDefault="00833070" w:rsidP="00EB0B83">
      <w:pPr>
        <w:spacing w:line="276" w:lineRule="auto"/>
        <w:jc w:val="both"/>
        <w:rPr>
          <w:rFonts w:ascii="Arial" w:hAnsi="Arial" w:cs="Arial"/>
        </w:rPr>
      </w:pPr>
      <w:r w:rsidRPr="0058466F">
        <w:rPr>
          <w:rFonts w:ascii="Arial" w:eastAsia="Times New Roman" w:hAnsi="Arial" w:cs="Arial"/>
          <w:szCs w:val="20"/>
        </w:rPr>
        <w:t>Σε συνέχεια απόφασης του Διοικητικού Συμβουλίου της ΟΤΕ Α.Ε. την 25</w:t>
      </w:r>
      <w:r w:rsidR="0024753F">
        <w:rPr>
          <w:rFonts w:ascii="Arial" w:eastAsia="Times New Roman" w:hAnsi="Arial" w:cs="Arial"/>
          <w:szCs w:val="20"/>
        </w:rPr>
        <w:t>η</w:t>
      </w:r>
      <w:r w:rsidRPr="0058466F">
        <w:rPr>
          <w:rFonts w:ascii="Arial" w:eastAsia="Times New Roman" w:hAnsi="Arial" w:cs="Arial"/>
          <w:szCs w:val="20"/>
        </w:rPr>
        <w:t xml:space="preserve"> Φεβρουαρίου 2026, ο ΟΤΕ προτίθεται να διανείμει το 100% </w:t>
      </w:r>
      <w:r w:rsidRPr="00B92B76">
        <w:rPr>
          <w:rFonts w:ascii="Arial" w:eastAsia="Times New Roman" w:hAnsi="Arial" w:cs="Arial"/>
          <w:szCs w:val="20"/>
        </w:rPr>
        <w:t>των ελεύθερων ταμειακών ροών που δημιουργήθηκαν το 2025, συμπεριλαμβανομένης της επένδυσης σε συμφωνίες παραχώρησης</w:t>
      </w:r>
      <w:r w:rsidR="0024753F" w:rsidRPr="00B92B76">
        <w:rPr>
          <w:rFonts w:ascii="Arial" w:eastAsia="Times New Roman" w:hAnsi="Arial" w:cs="Arial"/>
          <w:szCs w:val="20"/>
        </w:rPr>
        <w:t>.</w:t>
      </w:r>
      <w:r w:rsidRPr="00B92B76">
        <w:rPr>
          <w:rFonts w:ascii="Arial" w:eastAsia="Times New Roman" w:hAnsi="Arial" w:cs="Arial"/>
          <w:szCs w:val="20"/>
        </w:rPr>
        <w:t xml:space="preserve"> </w:t>
      </w:r>
      <w:r w:rsidR="00820B34" w:rsidRPr="00B92B76">
        <w:rPr>
          <w:rFonts w:ascii="Arial" w:eastAsia="Times New Roman" w:hAnsi="Arial" w:cs="Arial"/>
          <w:szCs w:val="20"/>
        </w:rPr>
        <w:t>Η Αμοιβή προς τους Μετόχους για το 2026 προτείνεται να ανέλθει σε €532 εκατ. και επιμερίζεται σε μέρισμα αξίας €355 εκατ. και σε Πρόγραμμα Απόκτησης Ιδίων Μετοχών ύψους €177 εκατ. περίπου. Το ποσό αυτό αντιστοιχεί στο 100% των ελεύθερων ταμειακών ροών που δημιουργήθηκαν το 2025,</w:t>
      </w:r>
      <w:r w:rsidR="00820B34">
        <w:rPr>
          <w:rFonts w:ascii="Arial" w:hAnsi="Arial" w:cs="Arial"/>
        </w:rPr>
        <w:t xml:space="preserve"> </w:t>
      </w:r>
      <w:r w:rsidR="00820B34" w:rsidRPr="00905C5F">
        <w:rPr>
          <w:rFonts w:ascii="Arial" w:hAnsi="Arial" w:cs="Arial"/>
        </w:rPr>
        <w:t>συμπεριλαμβανομέν</w:t>
      </w:r>
      <w:r w:rsidR="00820B34">
        <w:rPr>
          <w:rFonts w:ascii="Arial" w:hAnsi="Arial" w:cs="Arial"/>
        </w:rPr>
        <w:t>ης</w:t>
      </w:r>
      <w:r w:rsidR="00820B34" w:rsidRPr="00905C5F">
        <w:rPr>
          <w:rFonts w:ascii="Arial" w:hAnsi="Arial" w:cs="Arial"/>
        </w:rPr>
        <w:t xml:space="preserve"> </w:t>
      </w:r>
      <w:r w:rsidR="00820B34">
        <w:rPr>
          <w:rFonts w:ascii="Arial" w:hAnsi="Arial" w:cs="Arial"/>
        </w:rPr>
        <w:t>της</w:t>
      </w:r>
      <w:r w:rsidR="00820B34" w:rsidRPr="00905C5F">
        <w:rPr>
          <w:rFonts w:ascii="Arial" w:hAnsi="Arial" w:cs="Arial"/>
        </w:rPr>
        <w:t xml:space="preserve"> επένδυση</w:t>
      </w:r>
      <w:r w:rsidR="00820B34">
        <w:rPr>
          <w:rFonts w:ascii="Arial" w:hAnsi="Arial" w:cs="Arial"/>
        </w:rPr>
        <w:t>ς</w:t>
      </w:r>
      <w:r w:rsidR="00820B34" w:rsidRPr="00905C5F">
        <w:rPr>
          <w:rFonts w:ascii="Arial" w:hAnsi="Arial" w:cs="Arial"/>
        </w:rPr>
        <w:t xml:space="preserve"> σε συμφωνίες παραχώρησης</w:t>
      </w:r>
      <w:r w:rsidR="00820B34">
        <w:rPr>
          <w:rFonts w:ascii="Arial" w:hAnsi="Arial" w:cs="Arial"/>
        </w:rPr>
        <w:t xml:space="preserve">. </w:t>
      </w:r>
      <w:r w:rsidR="00820B34" w:rsidRPr="0056568C">
        <w:rPr>
          <w:rFonts w:ascii="Arial" w:hAnsi="Arial" w:cs="Arial"/>
        </w:rPr>
        <w:t xml:space="preserve">Το </w:t>
      </w:r>
      <w:r w:rsidR="00820B34">
        <w:rPr>
          <w:rFonts w:ascii="Arial" w:hAnsi="Arial" w:cs="Arial"/>
        </w:rPr>
        <w:t xml:space="preserve">προτεινόμενο </w:t>
      </w:r>
      <w:r w:rsidR="00820B34" w:rsidRPr="0056568C">
        <w:rPr>
          <w:rFonts w:ascii="Arial" w:hAnsi="Arial" w:cs="Arial"/>
        </w:rPr>
        <w:t xml:space="preserve">μέρισμα ανά μετοχή </w:t>
      </w:r>
      <w:r w:rsidR="00820B34">
        <w:rPr>
          <w:rFonts w:ascii="Arial" w:hAnsi="Arial" w:cs="Arial"/>
        </w:rPr>
        <w:t>αντιστοιχεί</w:t>
      </w:r>
      <w:r w:rsidR="00820B34" w:rsidRPr="0056568C">
        <w:rPr>
          <w:rFonts w:ascii="Arial" w:hAnsi="Arial" w:cs="Arial"/>
        </w:rPr>
        <w:t xml:space="preserve"> σε €0,</w:t>
      </w:r>
      <w:r w:rsidR="00820B34">
        <w:rPr>
          <w:rFonts w:ascii="Arial" w:hAnsi="Arial" w:cs="Arial"/>
        </w:rPr>
        <w:t>8777</w:t>
      </w:r>
      <w:r w:rsidR="00820B34" w:rsidRPr="00AF6678">
        <w:rPr>
          <w:rFonts w:ascii="Arial" w:hAnsi="Arial" w:cs="Arial"/>
        </w:rPr>
        <w:t xml:space="preserve"> </w:t>
      </w:r>
      <w:r w:rsidR="00820B34">
        <w:rPr>
          <w:rFonts w:ascii="Arial" w:hAnsi="Arial" w:cs="Arial"/>
        </w:rPr>
        <w:t xml:space="preserve">και θα καταβληθεί στις 7 Ιουλίου 2026, κατόπιν έγκρισής του από τη Γενική Συνέλευση των Μετόχων. </w:t>
      </w:r>
      <w:r w:rsidR="00820B34" w:rsidRPr="00AB3F8A">
        <w:rPr>
          <w:rFonts w:ascii="Arial" w:hAnsi="Arial" w:cs="Arial"/>
        </w:rPr>
        <w:t>Σημειώνεται ότι οι ίδιες μετοχές που θα κατέχει η Εταιρεία κατά την ημερομηνία αποκοπής του μερίσματος, δεν δικαιούνται μέρισμα. Συνεπώς, το μέρισμα που θα αντιστοιχεί σε αυτές τις ίδιες μετοχές, θα προσαυξήσει το μέρισμα των λοιπών μετόχων.</w:t>
      </w:r>
    </w:p>
    <w:p w14:paraId="3C535D45" w14:textId="2EFA2D18" w:rsidR="00E94620" w:rsidRPr="005C787B" w:rsidRDefault="00E94620" w:rsidP="00C07D22">
      <w:pPr>
        <w:rPr>
          <w:rFonts w:ascii="Arial" w:eastAsia="Times New Roman" w:hAnsi="Arial" w:cs="Arial"/>
          <w:b/>
          <w:color w:val="000000" w:themeColor="text1"/>
        </w:rPr>
      </w:pPr>
      <w:r w:rsidRPr="005C787B">
        <w:rPr>
          <w:rFonts w:ascii="Arial" w:eastAsia="Times New Roman" w:hAnsi="Arial" w:cs="Arial"/>
          <w:b/>
          <w:color w:val="000000" w:themeColor="text1"/>
        </w:rPr>
        <w:t xml:space="preserve">Πρόγραμμα Απόκτησης Ιδίων </w:t>
      </w:r>
      <w:r w:rsidR="00B92B76">
        <w:rPr>
          <w:rFonts w:ascii="Arial" w:eastAsia="Times New Roman" w:hAnsi="Arial" w:cs="Arial"/>
          <w:b/>
          <w:color w:val="000000" w:themeColor="text1"/>
        </w:rPr>
        <w:t>Μετοχών -</w:t>
      </w:r>
      <w:r w:rsidRPr="005C787B">
        <w:rPr>
          <w:rFonts w:ascii="Arial" w:eastAsia="Times New Roman" w:hAnsi="Arial" w:cs="Arial"/>
          <w:b/>
          <w:color w:val="000000" w:themeColor="text1"/>
        </w:rPr>
        <w:t xml:space="preserve"> </w:t>
      </w:r>
      <w:r w:rsidR="00E64A2B">
        <w:rPr>
          <w:rFonts w:ascii="Arial" w:eastAsia="Times New Roman" w:hAnsi="Arial" w:cs="Arial"/>
          <w:b/>
          <w:color w:val="000000" w:themeColor="text1"/>
        </w:rPr>
        <w:t xml:space="preserve">Πρόγραμμα </w:t>
      </w:r>
      <w:r w:rsidR="00E64A2B" w:rsidRPr="007560CE">
        <w:rPr>
          <w:rFonts w:ascii="Arial" w:eastAsia="Times New Roman" w:hAnsi="Arial" w:cs="Arial"/>
          <w:b/>
          <w:color w:val="000000" w:themeColor="text1"/>
        </w:rPr>
        <w:t>‘’</w:t>
      </w:r>
      <w:r w:rsidR="00E64A2B">
        <w:rPr>
          <w:rFonts w:ascii="Arial" w:eastAsia="Times New Roman" w:hAnsi="Arial" w:cs="Arial"/>
          <w:b/>
          <w:color w:val="000000" w:themeColor="text1"/>
          <w:lang w:val="en-US"/>
        </w:rPr>
        <w:t>OTE</w:t>
      </w:r>
      <w:r w:rsidR="00E64A2B" w:rsidRPr="007560CE">
        <w:rPr>
          <w:rFonts w:ascii="Arial" w:eastAsia="Times New Roman" w:hAnsi="Arial" w:cs="Arial"/>
          <w:b/>
          <w:color w:val="000000" w:themeColor="text1"/>
        </w:rPr>
        <w:t xml:space="preserve"> </w:t>
      </w:r>
      <w:r w:rsidR="00E64A2B">
        <w:rPr>
          <w:rFonts w:ascii="Arial" w:eastAsia="Times New Roman" w:hAnsi="Arial" w:cs="Arial"/>
          <w:b/>
          <w:color w:val="000000" w:themeColor="text1"/>
          <w:lang w:val="en-US"/>
        </w:rPr>
        <w:t>Shares</w:t>
      </w:r>
      <w:r w:rsidR="00E64A2B" w:rsidRPr="007560CE">
        <w:rPr>
          <w:rFonts w:ascii="Arial" w:eastAsia="Times New Roman" w:hAnsi="Arial" w:cs="Arial"/>
          <w:b/>
          <w:color w:val="000000" w:themeColor="text1"/>
        </w:rPr>
        <w:t xml:space="preserve"> </w:t>
      </w:r>
      <w:r w:rsidR="00E64A2B">
        <w:rPr>
          <w:rFonts w:ascii="Arial" w:eastAsia="Times New Roman" w:hAnsi="Arial" w:cs="Arial"/>
          <w:b/>
          <w:color w:val="000000" w:themeColor="text1"/>
          <w:lang w:val="en-US"/>
        </w:rPr>
        <w:t>Award</w:t>
      </w:r>
      <w:r w:rsidR="00E64A2B" w:rsidRPr="007560CE">
        <w:rPr>
          <w:rFonts w:ascii="Arial" w:eastAsia="Times New Roman" w:hAnsi="Arial" w:cs="Arial"/>
          <w:b/>
          <w:color w:val="000000" w:themeColor="text1"/>
        </w:rPr>
        <w:t xml:space="preserve"> </w:t>
      </w:r>
      <w:r w:rsidR="00E64A2B">
        <w:rPr>
          <w:rFonts w:ascii="Arial" w:eastAsia="Times New Roman" w:hAnsi="Arial" w:cs="Arial"/>
          <w:b/>
          <w:color w:val="000000" w:themeColor="text1"/>
          <w:lang w:val="en-US"/>
        </w:rPr>
        <w:t>Plan</w:t>
      </w:r>
      <w:r w:rsidR="00E64A2B" w:rsidRPr="007560CE">
        <w:rPr>
          <w:rFonts w:ascii="Arial" w:eastAsia="Times New Roman" w:hAnsi="Arial" w:cs="Arial"/>
          <w:b/>
          <w:color w:val="000000" w:themeColor="text1"/>
        </w:rPr>
        <w:t>’’</w:t>
      </w:r>
      <w:r w:rsidRPr="005C787B">
        <w:rPr>
          <w:rFonts w:ascii="Arial" w:eastAsia="Times New Roman" w:hAnsi="Arial" w:cs="Arial"/>
          <w:b/>
          <w:color w:val="000000" w:themeColor="text1"/>
        </w:rPr>
        <w:t xml:space="preserve"> </w:t>
      </w:r>
    </w:p>
    <w:p w14:paraId="707B06AF" w14:textId="77C87D58" w:rsidR="00A0439D" w:rsidRDefault="00E94620" w:rsidP="00E94620">
      <w:pPr>
        <w:spacing w:line="276" w:lineRule="auto"/>
        <w:jc w:val="both"/>
        <w:rPr>
          <w:rFonts w:ascii="Arial" w:eastAsia="Times New Roman" w:hAnsi="Arial" w:cs="Arial"/>
          <w:szCs w:val="20"/>
        </w:rPr>
      </w:pPr>
      <w:r w:rsidRPr="005C787B">
        <w:rPr>
          <w:rFonts w:ascii="Arial" w:eastAsia="Times New Roman" w:hAnsi="Arial" w:cs="Arial"/>
          <w:szCs w:val="20"/>
        </w:rPr>
        <w:t xml:space="preserve">Κατά την περίοδο από </w:t>
      </w:r>
      <w:r w:rsidR="007560CE" w:rsidRPr="007560CE">
        <w:rPr>
          <w:rFonts w:ascii="Arial" w:eastAsia="Times New Roman" w:hAnsi="Arial" w:cs="Arial"/>
          <w:szCs w:val="20"/>
        </w:rPr>
        <w:t>1</w:t>
      </w:r>
      <w:r w:rsidRPr="005C787B">
        <w:rPr>
          <w:rFonts w:ascii="Arial" w:eastAsia="Times New Roman" w:hAnsi="Arial" w:cs="Arial"/>
          <w:szCs w:val="20"/>
        </w:rPr>
        <w:t xml:space="preserve"> </w:t>
      </w:r>
      <w:r w:rsidR="007560CE">
        <w:rPr>
          <w:rFonts w:ascii="Arial" w:eastAsia="Times New Roman" w:hAnsi="Arial" w:cs="Arial"/>
          <w:szCs w:val="20"/>
        </w:rPr>
        <w:t>Ιανουαρίου</w:t>
      </w:r>
      <w:r w:rsidRPr="005C787B">
        <w:rPr>
          <w:rFonts w:ascii="Arial" w:eastAsia="Times New Roman" w:hAnsi="Arial" w:cs="Arial"/>
          <w:szCs w:val="20"/>
        </w:rPr>
        <w:t xml:space="preserve"> έως 9 Ιανουαρίου 2026, οπότε και ολοκληρώθηκε το Πρόγραμμα Απόκτησης Ιδίων Μετοχών για το 2025, η Εταιρεία απέκτησε συνολικά </w:t>
      </w:r>
      <w:r w:rsidR="007560CE" w:rsidRPr="00330B2C">
        <w:rPr>
          <w:rFonts w:ascii="Arial" w:hAnsi="Arial" w:cs="Arial"/>
        </w:rPr>
        <w:t>236</w:t>
      </w:r>
      <w:r w:rsidR="007560CE">
        <w:rPr>
          <w:rFonts w:ascii="Arial" w:hAnsi="Arial" w:cs="Arial"/>
        </w:rPr>
        <w:t>.</w:t>
      </w:r>
      <w:r w:rsidR="007560CE" w:rsidRPr="00330B2C">
        <w:rPr>
          <w:rFonts w:ascii="Arial" w:hAnsi="Arial" w:cs="Arial"/>
        </w:rPr>
        <w:t xml:space="preserve">283 </w:t>
      </w:r>
      <w:r w:rsidRPr="005C787B">
        <w:rPr>
          <w:rFonts w:ascii="Arial" w:eastAsia="Times New Roman" w:hAnsi="Arial" w:cs="Arial"/>
          <w:szCs w:val="20"/>
        </w:rPr>
        <w:t>ίδιες μετοχές σε μέση τιμή €16,</w:t>
      </w:r>
      <w:r w:rsidR="007560CE">
        <w:rPr>
          <w:rFonts w:ascii="Arial" w:eastAsia="Times New Roman" w:hAnsi="Arial" w:cs="Arial"/>
          <w:szCs w:val="20"/>
        </w:rPr>
        <w:t>88</w:t>
      </w:r>
      <w:r w:rsidRPr="005C787B">
        <w:rPr>
          <w:rFonts w:ascii="Arial" w:eastAsia="Times New Roman" w:hAnsi="Arial" w:cs="Arial"/>
          <w:szCs w:val="20"/>
        </w:rPr>
        <w:t xml:space="preserve"> ανά μετοχή. </w:t>
      </w:r>
      <w:r w:rsidR="007747A8">
        <w:rPr>
          <w:rFonts w:ascii="Arial" w:eastAsia="Times New Roman" w:hAnsi="Arial" w:cs="Arial"/>
          <w:szCs w:val="20"/>
        </w:rPr>
        <w:t>Στις 2 Μαρτίου 2026, ξεκίνησε ο πρώτος χρόνος του προγράμματος</w:t>
      </w:r>
      <w:r w:rsidR="007747A8" w:rsidRPr="00A0439D">
        <w:rPr>
          <w:rFonts w:ascii="Arial" w:eastAsia="Times New Roman" w:hAnsi="Arial" w:cs="Arial"/>
          <w:szCs w:val="20"/>
        </w:rPr>
        <w:t xml:space="preserve"> </w:t>
      </w:r>
      <w:r w:rsidR="007747A8">
        <w:rPr>
          <w:rFonts w:ascii="Arial" w:eastAsia="Times New Roman" w:hAnsi="Arial" w:cs="Arial"/>
          <w:szCs w:val="20"/>
          <w:lang w:val="en-US"/>
        </w:rPr>
        <w:t>SBB</w:t>
      </w:r>
      <w:r w:rsidR="007747A8">
        <w:rPr>
          <w:rFonts w:ascii="Arial" w:eastAsia="Times New Roman" w:hAnsi="Arial" w:cs="Arial"/>
          <w:szCs w:val="20"/>
        </w:rPr>
        <w:t xml:space="preserve"> 2026-2028. </w:t>
      </w:r>
      <w:r w:rsidR="00A0439D" w:rsidRPr="005C787B">
        <w:rPr>
          <w:rFonts w:ascii="Arial" w:eastAsia="Times New Roman" w:hAnsi="Arial" w:cs="Arial"/>
          <w:szCs w:val="20"/>
        </w:rPr>
        <w:t xml:space="preserve">Κατά την περίοδο από </w:t>
      </w:r>
      <w:r w:rsidR="00A0439D" w:rsidRPr="00A0439D">
        <w:rPr>
          <w:rFonts w:ascii="Arial" w:eastAsia="Times New Roman" w:hAnsi="Arial" w:cs="Arial"/>
          <w:szCs w:val="20"/>
        </w:rPr>
        <w:t>2</w:t>
      </w:r>
      <w:r w:rsidR="00A0439D" w:rsidRPr="005C787B">
        <w:rPr>
          <w:rFonts w:ascii="Arial" w:eastAsia="Times New Roman" w:hAnsi="Arial" w:cs="Arial"/>
          <w:szCs w:val="20"/>
        </w:rPr>
        <w:t xml:space="preserve"> </w:t>
      </w:r>
      <w:r w:rsidR="00A0439D">
        <w:rPr>
          <w:rFonts w:ascii="Arial" w:eastAsia="Times New Roman" w:hAnsi="Arial" w:cs="Arial"/>
          <w:szCs w:val="20"/>
        </w:rPr>
        <w:t>Μαρτίου</w:t>
      </w:r>
      <w:r w:rsidR="00A0439D" w:rsidRPr="005C787B">
        <w:rPr>
          <w:rFonts w:ascii="Arial" w:eastAsia="Times New Roman" w:hAnsi="Arial" w:cs="Arial"/>
          <w:szCs w:val="20"/>
        </w:rPr>
        <w:t xml:space="preserve"> έως </w:t>
      </w:r>
      <w:r w:rsidR="00C07D22">
        <w:rPr>
          <w:rFonts w:ascii="Arial" w:eastAsia="Times New Roman" w:hAnsi="Arial" w:cs="Arial"/>
          <w:szCs w:val="20"/>
        </w:rPr>
        <w:t>7</w:t>
      </w:r>
      <w:r w:rsidR="00A0439D" w:rsidRPr="005C787B">
        <w:rPr>
          <w:rFonts w:ascii="Arial" w:eastAsia="Times New Roman" w:hAnsi="Arial" w:cs="Arial"/>
          <w:szCs w:val="20"/>
        </w:rPr>
        <w:t xml:space="preserve"> </w:t>
      </w:r>
      <w:r w:rsidR="00A0439D">
        <w:rPr>
          <w:rFonts w:ascii="Arial" w:eastAsia="Times New Roman" w:hAnsi="Arial" w:cs="Arial"/>
          <w:szCs w:val="20"/>
        </w:rPr>
        <w:t>Μαΐου</w:t>
      </w:r>
      <w:r w:rsidR="00A0439D" w:rsidRPr="005C787B">
        <w:rPr>
          <w:rFonts w:ascii="Arial" w:eastAsia="Times New Roman" w:hAnsi="Arial" w:cs="Arial"/>
          <w:szCs w:val="20"/>
        </w:rPr>
        <w:t xml:space="preserve"> 2026</w:t>
      </w:r>
      <w:r w:rsidR="00A0439D">
        <w:rPr>
          <w:rFonts w:ascii="Arial" w:eastAsia="Times New Roman" w:hAnsi="Arial" w:cs="Arial"/>
          <w:szCs w:val="20"/>
        </w:rPr>
        <w:t xml:space="preserve">, </w:t>
      </w:r>
      <w:r w:rsidR="00A0439D" w:rsidRPr="005C787B">
        <w:rPr>
          <w:rFonts w:ascii="Arial" w:eastAsia="Times New Roman" w:hAnsi="Arial" w:cs="Arial"/>
          <w:szCs w:val="20"/>
        </w:rPr>
        <w:t xml:space="preserve">η Εταιρεία απέκτησε συνολικά </w:t>
      </w:r>
      <w:r w:rsidR="00E578DE" w:rsidRPr="00E578DE">
        <w:rPr>
          <w:rFonts w:ascii="Arial" w:hAnsi="Arial" w:cs="Arial"/>
        </w:rPr>
        <w:t>2.154.370</w:t>
      </w:r>
      <w:r w:rsidR="00A0439D" w:rsidRPr="00330B2C">
        <w:rPr>
          <w:rFonts w:ascii="Arial" w:hAnsi="Arial" w:cs="Arial"/>
        </w:rPr>
        <w:t xml:space="preserve"> </w:t>
      </w:r>
      <w:r w:rsidR="00A0439D" w:rsidRPr="005C787B">
        <w:rPr>
          <w:rFonts w:ascii="Arial" w:eastAsia="Times New Roman" w:hAnsi="Arial" w:cs="Arial"/>
          <w:szCs w:val="20"/>
        </w:rPr>
        <w:t>ίδιες μετοχές σε μέση τιμή €</w:t>
      </w:r>
      <w:r w:rsidR="00615D69" w:rsidRPr="00615D69">
        <w:rPr>
          <w:rFonts w:ascii="Arial" w:eastAsia="Times New Roman" w:hAnsi="Arial" w:cs="Arial"/>
          <w:szCs w:val="20"/>
        </w:rPr>
        <w:t xml:space="preserve">17,22 </w:t>
      </w:r>
      <w:r w:rsidR="00A0439D" w:rsidRPr="005C787B">
        <w:rPr>
          <w:rFonts w:ascii="Arial" w:eastAsia="Times New Roman" w:hAnsi="Arial" w:cs="Arial"/>
          <w:szCs w:val="20"/>
        </w:rPr>
        <w:t>ανά μετοχή.</w:t>
      </w:r>
    </w:p>
    <w:p w14:paraId="28236CA9" w14:textId="284FE631" w:rsidR="00802564" w:rsidRDefault="00802564" w:rsidP="00E94620">
      <w:pPr>
        <w:spacing w:line="276" w:lineRule="auto"/>
        <w:jc w:val="both"/>
        <w:rPr>
          <w:rFonts w:ascii="Arial" w:eastAsia="Times New Roman" w:hAnsi="Arial" w:cs="Arial"/>
          <w:szCs w:val="20"/>
        </w:rPr>
      </w:pPr>
      <w:r>
        <w:rPr>
          <w:rFonts w:ascii="Arial" w:eastAsia="Times New Roman" w:hAnsi="Arial" w:cs="Arial"/>
          <w:szCs w:val="20"/>
        </w:rPr>
        <w:t xml:space="preserve">Στις </w:t>
      </w:r>
      <w:r w:rsidR="00C07D22">
        <w:rPr>
          <w:rFonts w:ascii="Arial" w:eastAsia="Times New Roman" w:hAnsi="Arial" w:cs="Arial"/>
          <w:szCs w:val="20"/>
        </w:rPr>
        <w:t>7</w:t>
      </w:r>
      <w:r w:rsidRPr="005C787B">
        <w:rPr>
          <w:rFonts w:ascii="Arial" w:eastAsia="Times New Roman" w:hAnsi="Arial" w:cs="Arial"/>
          <w:szCs w:val="20"/>
        </w:rPr>
        <w:t xml:space="preserve"> </w:t>
      </w:r>
      <w:r>
        <w:rPr>
          <w:rFonts w:ascii="Arial" w:eastAsia="Times New Roman" w:hAnsi="Arial" w:cs="Arial"/>
          <w:szCs w:val="20"/>
        </w:rPr>
        <w:t>Μαΐου</w:t>
      </w:r>
      <w:r w:rsidRPr="005C787B">
        <w:rPr>
          <w:rFonts w:ascii="Arial" w:eastAsia="Times New Roman" w:hAnsi="Arial" w:cs="Arial"/>
          <w:szCs w:val="20"/>
        </w:rPr>
        <w:t xml:space="preserve"> 2026</w:t>
      </w:r>
      <w:r>
        <w:rPr>
          <w:rFonts w:ascii="Arial" w:eastAsia="Times New Roman" w:hAnsi="Arial" w:cs="Arial"/>
          <w:szCs w:val="20"/>
        </w:rPr>
        <w:t xml:space="preserve">, η Εταιρεία κατείχε </w:t>
      </w:r>
      <w:r w:rsidR="00F53AE4" w:rsidRPr="00F53AE4">
        <w:rPr>
          <w:rFonts w:ascii="Arial" w:hAnsi="Arial" w:cs="Arial"/>
        </w:rPr>
        <w:t>9.951.384</w:t>
      </w:r>
      <w:r w:rsidRPr="00330B2C">
        <w:rPr>
          <w:rFonts w:ascii="Arial" w:hAnsi="Arial" w:cs="Arial"/>
        </w:rPr>
        <w:t xml:space="preserve"> </w:t>
      </w:r>
      <w:r w:rsidRPr="005C787B">
        <w:rPr>
          <w:rFonts w:ascii="Arial" w:eastAsia="Times New Roman" w:hAnsi="Arial" w:cs="Arial"/>
          <w:szCs w:val="20"/>
        </w:rPr>
        <w:t>ίδιες μετοχές</w:t>
      </w:r>
      <w:r>
        <w:rPr>
          <w:rFonts w:ascii="Arial" w:eastAsia="Times New Roman" w:hAnsi="Arial" w:cs="Arial"/>
          <w:szCs w:val="20"/>
        </w:rPr>
        <w:t xml:space="preserve">. </w:t>
      </w:r>
      <w:r w:rsidR="00E94620" w:rsidRPr="005C787B">
        <w:rPr>
          <w:rFonts w:ascii="Arial" w:eastAsia="Times New Roman" w:hAnsi="Arial" w:cs="Arial"/>
          <w:szCs w:val="20"/>
        </w:rPr>
        <w:t xml:space="preserve">Από το σύνολο αυτό, </w:t>
      </w:r>
      <w:r w:rsidR="00F53AE4" w:rsidRPr="00F53AE4">
        <w:rPr>
          <w:rFonts w:ascii="Arial" w:eastAsia="Times New Roman" w:hAnsi="Arial" w:cs="Arial"/>
          <w:szCs w:val="20"/>
        </w:rPr>
        <w:t>9.799.15</w:t>
      </w:r>
      <w:r w:rsidR="00F53AE4">
        <w:rPr>
          <w:rFonts w:ascii="Arial" w:eastAsia="Times New Roman" w:hAnsi="Arial" w:cs="Arial"/>
          <w:szCs w:val="20"/>
          <w:lang w:val="en-US"/>
        </w:rPr>
        <w:t>5</w:t>
      </w:r>
      <w:r w:rsidR="00E94620" w:rsidRPr="005C787B">
        <w:rPr>
          <w:rFonts w:ascii="Arial" w:eastAsia="Times New Roman" w:hAnsi="Arial" w:cs="Arial"/>
          <w:szCs w:val="20"/>
        </w:rPr>
        <w:t xml:space="preserve"> ίδιες μετοχές αποκτήθηκαν κατά την περίοδο από 2 </w:t>
      </w:r>
      <w:r>
        <w:rPr>
          <w:rFonts w:ascii="Arial" w:eastAsia="Times New Roman" w:hAnsi="Arial" w:cs="Arial"/>
          <w:szCs w:val="20"/>
        </w:rPr>
        <w:t>Μαΐου</w:t>
      </w:r>
      <w:r w:rsidR="00E94620" w:rsidRPr="005C787B">
        <w:rPr>
          <w:rFonts w:ascii="Arial" w:eastAsia="Times New Roman" w:hAnsi="Arial" w:cs="Arial"/>
          <w:szCs w:val="20"/>
        </w:rPr>
        <w:t xml:space="preserve"> 2025 έως 30 Απριλίου 202</w:t>
      </w:r>
      <w:r>
        <w:rPr>
          <w:rFonts w:ascii="Arial" w:eastAsia="Times New Roman" w:hAnsi="Arial" w:cs="Arial"/>
          <w:szCs w:val="20"/>
        </w:rPr>
        <w:t>6</w:t>
      </w:r>
      <w:r w:rsidR="00E94620" w:rsidRPr="005C787B">
        <w:rPr>
          <w:rFonts w:ascii="Arial" w:eastAsia="Times New Roman" w:hAnsi="Arial" w:cs="Arial"/>
          <w:szCs w:val="20"/>
        </w:rPr>
        <w:t xml:space="preserve">, </w:t>
      </w:r>
      <w:r>
        <w:rPr>
          <w:rFonts w:ascii="Arial" w:eastAsia="Times New Roman" w:hAnsi="Arial" w:cs="Arial"/>
          <w:szCs w:val="20"/>
        </w:rPr>
        <w:t>και θα</w:t>
      </w:r>
      <w:r w:rsidR="00F27C28">
        <w:rPr>
          <w:rFonts w:ascii="Arial" w:eastAsia="Times New Roman" w:hAnsi="Arial" w:cs="Arial"/>
          <w:szCs w:val="20"/>
        </w:rPr>
        <w:t xml:space="preserve"> προταθούν προς</w:t>
      </w:r>
      <w:r>
        <w:rPr>
          <w:rFonts w:ascii="Arial" w:eastAsia="Times New Roman" w:hAnsi="Arial" w:cs="Arial"/>
          <w:szCs w:val="20"/>
        </w:rPr>
        <w:t xml:space="preserve"> </w:t>
      </w:r>
      <w:r w:rsidR="00F27C28">
        <w:rPr>
          <w:rFonts w:ascii="Arial" w:eastAsia="Times New Roman" w:hAnsi="Arial" w:cs="Arial"/>
          <w:szCs w:val="20"/>
        </w:rPr>
        <w:t>ακύρωση</w:t>
      </w:r>
      <w:r>
        <w:rPr>
          <w:rFonts w:ascii="Arial" w:eastAsia="Times New Roman" w:hAnsi="Arial" w:cs="Arial"/>
          <w:szCs w:val="20"/>
        </w:rPr>
        <w:t xml:space="preserve"> </w:t>
      </w:r>
      <w:r w:rsidR="00E94620" w:rsidRPr="005C787B">
        <w:rPr>
          <w:rFonts w:ascii="Arial" w:eastAsia="Times New Roman" w:hAnsi="Arial" w:cs="Arial"/>
          <w:szCs w:val="20"/>
        </w:rPr>
        <w:t>στην Ετήσια Γενική Συνέλευση των Μετόχων</w:t>
      </w:r>
      <w:r w:rsidR="00233E14">
        <w:rPr>
          <w:rFonts w:ascii="Arial" w:eastAsia="Times New Roman" w:hAnsi="Arial" w:cs="Arial"/>
          <w:szCs w:val="20"/>
        </w:rPr>
        <w:t xml:space="preserve"> στις 9 Ιουνίου 2026.</w:t>
      </w:r>
    </w:p>
    <w:p w14:paraId="652E01B2" w14:textId="0C34CB8D" w:rsidR="00E94620" w:rsidRPr="005C787B" w:rsidRDefault="00802564" w:rsidP="00E94620">
      <w:pPr>
        <w:spacing w:line="276" w:lineRule="auto"/>
        <w:jc w:val="both"/>
        <w:rPr>
          <w:rFonts w:ascii="Arial" w:eastAsia="Times New Roman" w:hAnsi="Arial" w:cs="Arial"/>
          <w:szCs w:val="20"/>
        </w:rPr>
      </w:pPr>
      <w:r>
        <w:rPr>
          <w:rFonts w:ascii="Arial" w:eastAsia="Times New Roman" w:hAnsi="Arial" w:cs="Arial"/>
          <w:szCs w:val="20"/>
        </w:rPr>
        <w:t>Σ</w:t>
      </w:r>
      <w:r w:rsidRPr="005C787B">
        <w:rPr>
          <w:rFonts w:ascii="Arial" w:eastAsia="Times New Roman" w:hAnsi="Arial" w:cs="Arial"/>
          <w:szCs w:val="20"/>
        </w:rPr>
        <w:t>τις 21 Ιανουαρίου 2026</w:t>
      </w:r>
      <w:r>
        <w:rPr>
          <w:rFonts w:ascii="Arial" w:eastAsia="Times New Roman" w:hAnsi="Arial" w:cs="Arial"/>
          <w:szCs w:val="20"/>
        </w:rPr>
        <w:t xml:space="preserve"> η Εταιρεία απέκτησε </w:t>
      </w:r>
      <w:r w:rsidR="00E94620" w:rsidRPr="005C787B">
        <w:rPr>
          <w:rFonts w:ascii="Arial" w:eastAsia="Times New Roman" w:hAnsi="Arial" w:cs="Arial"/>
          <w:szCs w:val="20"/>
        </w:rPr>
        <w:t xml:space="preserve">11.329 ίδιες μετοχές, </w:t>
      </w:r>
      <w:r w:rsidR="00727319">
        <w:rPr>
          <w:rFonts w:ascii="Arial" w:eastAsia="Times New Roman" w:hAnsi="Arial" w:cs="Arial"/>
          <w:szCs w:val="20"/>
        </w:rPr>
        <w:t>οι</w:t>
      </w:r>
      <w:r w:rsidR="00727319" w:rsidRPr="00727319">
        <w:rPr>
          <w:rFonts w:ascii="Arial" w:eastAsia="Times New Roman" w:hAnsi="Arial" w:cs="Arial"/>
          <w:szCs w:val="20"/>
        </w:rPr>
        <w:t xml:space="preserve"> οποίες θα διατεθούν σε εργαζομένους και/ή μέλη της διοίκησης της Εταιρείας και/ή </w:t>
      </w:r>
      <w:r w:rsidR="00727319" w:rsidRPr="002F78A1">
        <w:rPr>
          <w:rFonts w:ascii="Arial" w:eastAsia="Times New Roman" w:hAnsi="Arial" w:cs="Arial"/>
          <w:szCs w:val="20"/>
        </w:rPr>
        <w:t>συνδεδεμένης εταιρείας</w:t>
      </w:r>
      <w:r w:rsidR="00727319">
        <w:rPr>
          <w:rFonts w:ascii="Arial" w:eastAsia="Times New Roman" w:hAnsi="Arial" w:cs="Arial"/>
          <w:szCs w:val="20"/>
        </w:rPr>
        <w:t>,</w:t>
      </w:r>
      <w:r w:rsidR="00AF5815">
        <w:rPr>
          <w:rFonts w:ascii="Arial" w:eastAsia="Times New Roman" w:hAnsi="Arial" w:cs="Arial"/>
          <w:szCs w:val="20"/>
        </w:rPr>
        <w:t xml:space="preserve"> </w:t>
      </w:r>
      <w:r w:rsidR="00E94620" w:rsidRPr="005C787B">
        <w:rPr>
          <w:rFonts w:ascii="Arial" w:eastAsia="Times New Roman" w:hAnsi="Arial" w:cs="Arial"/>
          <w:szCs w:val="20"/>
        </w:rPr>
        <w:t xml:space="preserve">στο πλαίσιο του Προγράμματος Κινήτρου </w:t>
      </w:r>
      <w:r w:rsidR="00E94620" w:rsidRPr="002F78A1">
        <w:rPr>
          <w:rFonts w:ascii="Arial" w:eastAsia="Times New Roman" w:hAnsi="Arial" w:cs="Arial"/>
          <w:szCs w:val="20"/>
        </w:rPr>
        <w:t>OTE</w:t>
      </w:r>
      <w:r w:rsidR="00E94620" w:rsidRPr="005C787B">
        <w:rPr>
          <w:rFonts w:ascii="Arial" w:eastAsia="Times New Roman" w:hAnsi="Arial" w:cs="Arial"/>
          <w:szCs w:val="20"/>
        </w:rPr>
        <w:t xml:space="preserve"> </w:t>
      </w:r>
      <w:r w:rsidR="00E94620" w:rsidRPr="002F78A1">
        <w:rPr>
          <w:rFonts w:ascii="Arial" w:eastAsia="Times New Roman" w:hAnsi="Arial" w:cs="Arial"/>
          <w:szCs w:val="20"/>
        </w:rPr>
        <w:t>Shares</w:t>
      </w:r>
      <w:r w:rsidR="00E94620" w:rsidRPr="005C787B">
        <w:rPr>
          <w:rFonts w:ascii="Arial" w:eastAsia="Times New Roman" w:hAnsi="Arial" w:cs="Arial"/>
          <w:szCs w:val="20"/>
        </w:rPr>
        <w:t xml:space="preserve"> </w:t>
      </w:r>
      <w:r w:rsidR="00E94620" w:rsidRPr="002F78A1">
        <w:rPr>
          <w:rFonts w:ascii="Arial" w:eastAsia="Times New Roman" w:hAnsi="Arial" w:cs="Arial"/>
          <w:szCs w:val="20"/>
        </w:rPr>
        <w:t>Award</w:t>
      </w:r>
      <w:r w:rsidR="00E94620" w:rsidRPr="005C787B">
        <w:rPr>
          <w:rFonts w:ascii="Arial" w:eastAsia="Times New Roman" w:hAnsi="Arial" w:cs="Arial"/>
          <w:szCs w:val="20"/>
        </w:rPr>
        <w:t xml:space="preserve"> </w:t>
      </w:r>
      <w:r w:rsidR="00E94620" w:rsidRPr="002F78A1">
        <w:rPr>
          <w:rFonts w:ascii="Arial" w:eastAsia="Times New Roman" w:hAnsi="Arial" w:cs="Arial"/>
          <w:szCs w:val="20"/>
        </w:rPr>
        <w:t>Plan</w:t>
      </w:r>
      <w:r w:rsidR="00E94620" w:rsidRPr="005C787B">
        <w:rPr>
          <w:rFonts w:ascii="Arial" w:eastAsia="Times New Roman" w:hAnsi="Arial" w:cs="Arial"/>
          <w:szCs w:val="20"/>
        </w:rPr>
        <w:t xml:space="preserve"> για το 2025.</w:t>
      </w:r>
    </w:p>
    <w:p w14:paraId="7499F2C2" w14:textId="77777777" w:rsidR="00263978" w:rsidRDefault="00263978" w:rsidP="005376F7">
      <w:pPr>
        <w:pStyle w:val="Tittle2"/>
        <w:rPr>
          <w:rFonts w:cs="Arial"/>
          <w:lang w:val="el-GR"/>
        </w:rPr>
      </w:pPr>
    </w:p>
    <w:p w14:paraId="6F836F34" w14:textId="77777777" w:rsidR="001E673A" w:rsidRDefault="001E673A" w:rsidP="001E673A">
      <w:pPr>
        <w:spacing w:line="280" w:lineRule="exact"/>
        <w:jc w:val="both"/>
        <w:rPr>
          <w:rFonts w:ascii="Arial" w:hAnsi="Arial" w:cs="Arial"/>
          <w:sz w:val="23"/>
          <w:szCs w:val="23"/>
          <w14:ligatures w14:val="standardContextual"/>
        </w:rPr>
      </w:pPr>
    </w:p>
    <w:p w14:paraId="20A0125D" w14:textId="27E20479" w:rsidR="00C01247" w:rsidRPr="00E049CC" w:rsidRDefault="00C01247">
      <w:pPr>
        <w:rPr>
          <w:rFonts w:ascii="Arial" w:hAnsi="Arial" w:cs="Arial"/>
          <w:b/>
          <w:color w:val="000000" w:themeColor="text1"/>
        </w:rPr>
      </w:pPr>
      <w:r w:rsidRPr="00E049CC">
        <w:rPr>
          <w:rFonts w:ascii="Arial" w:hAnsi="Arial" w:cs="Arial"/>
          <w:b/>
          <w:color w:val="000000" w:themeColor="text1"/>
        </w:rPr>
        <w:br w:type="page"/>
      </w:r>
    </w:p>
    <w:p w14:paraId="379D1708" w14:textId="77777777" w:rsidR="0086425A" w:rsidRPr="00E049CC" w:rsidRDefault="0086425A" w:rsidP="009820FA">
      <w:pPr>
        <w:spacing w:after="0" w:line="240" w:lineRule="auto"/>
        <w:jc w:val="both"/>
        <w:rPr>
          <w:rFonts w:ascii="Arial" w:eastAsia="Times New Roman" w:hAnsi="Arial" w:cs="Arial"/>
          <w:b/>
          <w:color w:val="00B0F0"/>
          <w:sz w:val="24"/>
          <w:szCs w:val="24"/>
        </w:rPr>
      </w:pPr>
    </w:p>
    <w:p w14:paraId="2E395EFE" w14:textId="3C9304BD" w:rsidR="009E285A" w:rsidRPr="003B452A" w:rsidRDefault="000E45DB" w:rsidP="00191CE0">
      <w:pPr>
        <w:pStyle w:val="prcontactc"/>
        <w:tabs>
          <w:tab w:val="left" w:pos="9000"/>
        </w:tabs>
        <w:ind w:firstLine="3600"/>
        <w:rPr>
          <w:rFonts w:ascii="Arial" w:eastAsia="Arial Narrow" w:hAnsi="Arial" w:cs="Arial"/>
          <w:b/>
          <w:bCs/>
          <w:color w:val="00A5E3"/>
          <w:position w:val="-1"/>
          <w:lang w:val="el-GR"/>
        </w:rPr>
      </w:pPr>
      <w:r w:rsidRPr="00A22DD3">
        <w:rPr>
          <w:rFonts w:ascii="Arial" w:hAnsi="Arial" w:cs="Arial"/>
          <w:bCs/>
          <w:noProof/>
        </w:rPr>
        <mc:AlternateContent>
          <mc:Choice Requires="wps">
            <w:drawing>
              <wp:anchor distT="0" distB="0" distL="114300" distR="114300" simplePos="0" relativeHeight="251658240" behindDoc="0" locked="0" layoutInCell="1" allowOverlap="1" wp14:anchorId="6713E017" wp14:editId="086D84E2">
                <wp:simplePos x="0" y="0"/>
                <wp:positionH relativeFrom="column">
                  <wp:posOffset>-1142909</wp:posOffset>
                </wp:positionH>
                <wp:positionV relativeFrom="paragraph">
                  <wp:posOffset>-43542</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4F593" id="Straight Connector 1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45pt" to="55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FqN6X3fAAAACwEAAA8AAABkcnMvZG93&#10;bnJldi54bWxMj81OwzAQhO9IvIO1SFxQ6wSJNAlxKkDixKkBCY5uvI1T4nUUu014e7YnuO3P7Ow3&#10;1XZxgzjjFHpPCtJ1AgKp9aanTsHH++sqBxGiJqMHT6jgBwNs6+urSpfGz7TDcxM7wSYUSq3AxjiW&#10;UobWotNh7Uck3h385HTkduqkmfTM5m6Q90mSSad74g9Wj/hisf1uTo4xDp/Hr+5uMLh7s8Vx1pvm&#10;udkodXuzPD2CiLjEPzFc8PkGamba+xOZIAYFqzRPOEzkKitAXBRpmmcg9jx5KEDWlfyfof4FAAD/&#10;/wMAUEsBAi0AFAAGAAgAAAAhALaDOJL+AAAA4QEAABMAAAAAAAAAAAAAAAAAAAAAAFtDb250ZW50&#10;X1R5cGVzXS54bWxQSwECLQAUAAYACAAAACEAOP0h/9YAAACUAQAACwAAAAAAAAAAAAAAAAAvAQAA&#10;X3JlbHMvLnJlbHNQSwECLQAUAAYACAAAACEAb0oClLwBAADYAwAADgAAAAAAAAAAAAAAAAAuAgAA&#10;ZHJzL2Uyb0RvYy54bWxQSwECLQAUAAYACAAAACEAWo3pfd8AAAALAQAADwAAAAAAAAAAAAAAAAAW&#10;BAAAZHJzL2Rvd25yZXYueG1sUEsFBgAAAAAEAAQA8wAAACIFAAAAAA==&#10;" strokecolor="#00a5e3" strokeweight=".5pt">
                <v:stroke joinstyle="miter"/>
              </v:line>
            </w:pict>
          </mc:Fallback>
        </mc:AlternateContent>
      </w:r>
      <w:r w:rsidR="009E285A" w:rsidRPr="00E94B28">
        <w:rPr>
          <w:rFonts w:ascii="Arial" w:eastAsia="Arial Narrow" w:hAnsi="Arial" w:cs="Arial"/>
          <w:b/>
          <w:bCs/>
          <w:color w:val="00A5E3"/>
          <w:position w:val="-1"/>
          <w:lang w:val="el-GR"/>
        </w:rPr>
        <w:t>Λεπτομέρειες</w:t>
      </w:r>
      <w:r w:rsidR="009E285A" w:rsidRPr="003B452A">
        <w:rPr>
          <w:rFonts w:ascii="Arial" w:eastAsia="Arial Narrow" w:hAnsi="Arial" w:cs="Arial"/>
          <w:b/>
          <w:bCs/>
          <w:color w:val="00A5E3"/>
          <w:position w:val="-1"/>
          <w:lang w:val="el-GR"/>
        </w:rPr>
        <w:t xml:space="preserve"> </w:t>
      </w:r>
      <w:r w:rsidR="009E285A" w:rsidRPr="00E94B28">
        <w:rPr>
          <w:rFonts w:ascii="Arial" w:eastAsia="Arial Narrow" w:hAnsi="Arial" w:cs="Arial"/>
          <w:b/>
          <w:bCs/>
          <w:color w:val="00A5E3"/>
          <w:position w:val="-1"/>
          <w:lang w:val="el-GR"/>
        </w:rPr>
        <w:t>Τηλεδιάσκεψης</w:t>
      </w:r>
    </w:p>
    <w:p w14:paraId="69FDFDC1" w14:textId="788D712B" w:rsidR="009E285A" w:rsidRPr="003B452A" w:rsidRDefault="00E4336C"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Παρασκευή</w:t>
      </w:r>
      <w:r w:rsidR="009E285A" w:rsidRPr="003B452A">
        <w:rPr>
          <w:rFonts w:ascii="Arial" w:eastAsia="Arial Narrow" w:hAnsi="Arial" w:cs="Arial"/>
          <w:b/>
          <w:bCs/>
          <w:color w:val="00A5E3"/>
        </w:rPr>
        <w:t xml:space="preserve">, </w:t>
      </w:r>
      <w:r>
        <w:rPr>
          <w:rFonts w:ascii="Arial" w:eastAsia="Arial Narrow" w:hAnsi="Arial" w:cs="Arial"/>
          <w:b/>
          <w:bCs/>
          <w:color w:val="00A5E3"/>
        </w:rPr>
        <w:t>8</w:t>
      </w:r>
      <w:r w:rsidR="00386899" w:rsidRPr="0058466F">
        <w:rPr>
          <w:rFonts w:ascii="Arial" w:eastAsia="Arial Narrow" w:hAnsi="Arial" w:cs="Arial"/>
          <w:b/>
          <w:bCs/>
          <w:color w:val="00A5E3"/>
        </w:rPr>
        <w:t xml:space="preserve"> </w:t>
      </w:r>
      <w:r w:rsidR="00386899">
        <w:rPr>
          <w:rFonts w:ascii="Arial" w:eastAsia="Arial Narrow" w:hAnsi="Arial" w:cs="Arial"/>
          <w:b/>
          <w:bCs/>
          <w:color w:val="00A5E3"/>
        </w:rPr>
        <w:t>Μαΐου</w:t>
      </w:r>
      <w:r w:rsidR="004D4612" w:rsidRPr="003B452A">
        <w:rPr>
          <w:rFonts w:ascii="Arial" w:eastAsia="Arial Narrow" w:hAnsi="Arial" w:cs="Arial"/>
          <w:b/>
          <w:bCs/>
          <w:color w:val="00A5E3"/>
        </w:rPr>
        <w:t xml:space="preserve"> 202</w:t>
      </w:r>
      <w:r w:rsidR="00332645">
        <w:rPr>
          <w:rFonts w:ascii="Arial" w:eastAsia="Arial Narrow" w:hAnsi="Arial" w:cs="Arial"/>
          <w:b/>
          <w:bCs/>
          <w:color w:val="00A5E3"/>
        </w:rPr>
        <w:t>6</w:t>
      </w:r>
    </w:p>
    <w:p w14:paraId="33C234D7" w14:textId="154561D2" w:rsidR="00DE3BB5" w:rsidRPr="00593EE9" w:rsidRDefault="00DE3BB5" w:rsidP="00DE3BB5">
      <w:pPr>
        <w:tabs>
          <w:tab w:val="left" w:pos="4720"/>
        </w:tabs>
        <w:spacing w:line="520" w:lineRule="exact"/>
        <w:ind w:left="1648" w:right="1956"/>
        <w:jc w:val="center"/>
        <w:rPr>
          <w:rFonts w:ascii="Arial" w:eastAsia="Arial Narrow" w:hAnsi="Arial" w:cs="Arial"/>
          <w:lang w:val="de-DE"/>
        </w:rPr>
      </w:pPr>
      <w:r w:rsidRPr="00FB20CB">
        <w:rPr>
          <w:rFonts w:ascii="Arial" w:eastAsia="Arial Narrow" w:hAnsi="Arial" w:cs="Arial"/>
          <w:spacing w:val="1"/>
          <w:lang w:val="de-DE"/>
        </w:rPr>
        <w:t>13</w:t>
      </w:r>
      <w:r w:rsidRPr="00FB20CB">
        <w:rPr>
          <w:rFonts w:ascii="Arial" w:eastAsia="Arial Narrow" w:hAnsi="Arial" w:cs="Arial"/>
          <w:lang w:val="de-DE"/>
        </w:rPr>
        <w:t xml:space="preserve">:00pm </w:t>
      </w:r>
      <w:r w:rsidRPr="00881ECC">
        <w:rPr>
          <w:rFonts w:ascii="Arial" w:eastAsia="Arial Narrow" w:hAnsi="Arial" w:cs="Arial"/>
          <w:lang w:val="de-DE"/>
        </w:rPr>
        <w:t>(EEST), 11:00am (BST), 12:00pm (CEST), 0</w:t>
      </w:r>
      <w:r w:rsidR="004D1B04" w:rsidRPr="00881ECC">
        <w:rPr>
          <w:rFonts w:ascii="Arial" w:eastAsia="Arial Narrow" w:hAnsi="Arial" w:cs="Arial"/>
          <w:lang w:val="de-DE"/>
        </w:rPr>
        <w:t>6</w:t>
      </w:r>
      <w:r w:rsidRPr="00881ECC">
        <w:rPr>
          <w:rFonts w:ascii="Arial" w:eastAsia="Arial Narrow" w:hAnsi="Arial" w:cs="Arial"/>
          <w:lang w:val="de-DE"/>
        </w:rPr>
        <w:t>:00am (EDT)</w:t>
      </w:r>
    </w:p>
    <w:p w14:paraId="2D74456F" w14:textId="77777777" w:rsidR="009E285A" w:rsidRPr="00402A83" w:rsidRDefault="009E285A" w:rsidP="0049637A">
      <w:pPr>
        <w:ind w:right="3457"/>
        <w:rPr>
          <w:rFonts w:ascii="Arial" w:eastAsia="Arial Narrow" w:hAnsi="Arial" w:cs="Arial"/>
          <w:spacing w:val="1"/>
        </w:rPr>
      </w:pPr>
      <w:r w:rsidRPr="00402A83">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7693A418" w14:textId="158ECFBC" w:rsidR="006C51BF" w:rsidRDefault="009E285A" w:rsidP="00232BEE">
      <w:pPr>
        <w:tabs>
          <w:tab w:val="left" w:pos="4680"/>
        </w:tabs>
        <w:spacing w:before="22" w:after="120"/>
        <w:ind w:left="2160" w:right="1663"/>
        <w:rPr>
          <w:rFonts w:ascii="Arial" w:eastAsia="Arial Narrow" w:hAnsi="Arial" w:cs="Arial"/>
          <w:kern w:val="2"/>
          <w:position w:val="1"/>
          <w:lang w:val="en-US"/>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00232BEE" w:rsidRPr="009D2E15">
        <w:rPr>
          <w:rFonts w:ascii="Arial" w:eastAsia="Arial Narrow" w:hAnsi="Arial" w:cs="Arial"/>
          <w:kern w:val="2"/>
          <w:position w:val="1"/>
          <w14:ligatures w14:val="standardContextual"/>
        </w:rPr>
        <w:t xml:space="preserve"> </w:t>
      </w:r>
      <w:r w:rsidR="00232BEE" w:rsidRPr="00355EF6">
        <w:rPr>
          <w:rFonts w:ascii="Arial" w:eastAsia="Arial Narrow" w:hAnsi="Arial" w:cs="Arial"/>
          <w:kern w:val="2"/>
          <w:position w:val="1"/>
          <w14:ligatures w14:val="standardContextual"/>
        </w:rPr>
        <w:t xml:space="preserve">+49 (0) 800 588 </w:t>
      </w:r>
      <w:r w:rsidR="00232BEE" w:rsidRPr="00355EF6">
        <w:rPr>
          <w:rFonts w:ascii="Arial" w:eastAsia="Arial Narrow" w:hAnsi="Arial" w:cs="Arial"/>
          <w:kern w:val="2"/>
          <w:position w:val="1"/>
          <w14:ligatures w14:val="standardContextual"/>
        </w:rPr>
        <w:t>9310</w:t>
      </w:r>
    </w:p>
    <w:p w14:paraId="183E23C7" w14:textId="695ED80F" w:rsidR="009E285A" w:rsidRPr="001113A8" w:rsidRDefault="009E285A" w:rsidP="00232BE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6C927CE5" w14:textId="68E1FB6A" w:rsidR="005D0797" w:rsidRPr="00FB20CB" w:rsidRDefault="009E285A" w:rsidP="0012006E">
      <w:pPr>
        <w:pStyle w:val="Default"/>
        <w:rPr>
          <w:rFonts w:ascii="Arial" w:hAnsi="Arial" w:cs="Arial"/>
          <w14:ligatures w14:val="standardContextual"/>
        </w:rPr>
      </w:pPr>
      <w:r w:rsidRPr="001113A8">
        <w:rPr>
          <w:rFonts w:ascii="Arial" w:eastAsia="Arial Narrow" w:hAnsi="Arial" w:cs="Arial"/>
          <w:kern w:val="2"/>
          <w14:ligatures w14:val="standardContextual"/>
        </w:rPr>
        <w:t>Η τηλεδιάσκεψη θα πραγματοποιηθεί σε πραγματικό χρόνο μετάδοσης μέσω διαδικτύου και μπορείτε να  εγγραφείτε μέσω</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σύνδεσης</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στο:</w:t>
      </w:r>
      <w:r w:rsidR="0012006E">
        <w:rPr>
          <w:rFonts w:ascii="Arial" w:eastAsia="Arial Narrow" w:hAnsi="Arial" w:cs="Arial"/>
          <w:kern w:val="2"/>
          <w14:ligatures w14:val="standardContextual"/>
        </w:rPr>
        <w:t xml:space="preserve">                                                           </w:t>
      </w:r>
    </w:p>
    <w:p w14:paraId="518B955C" w14:textId="77777777" w:rsidR="00C44A3C" w:rsidRPr="00FB20CB" w:rsidRDefault="00C44A3C" w:rsidP="00C44A3C">
      <w:pPr>
        <w:autoSpaceDE w:val="0"/>
        <w:autoSpaceDN w:val="0"/>
        <w:adjustRightInd w:val="0"/>
        <w:spacing w:after="0" w:line="240" w:lineRule="auto"/>
        <w:rPr>
          <w:rFonts w:ascii="Arial" w:hAnsi="Arial" w:cs="Arial"/>
          <w:color w:val="000000"/>
          <w:sz w:val="24"/>
          <w:szCs w:val="24"/>
          <w14:ligatures w14:val="standardContextual"/>
        </w:rPr>
      </w:pPr>
    </w:p>
    <w:p w14:paraId="565A918C" w14:textId="77777777" w:rsidR="00E4336C" w:rsidRPr="00E4336C" w:rsidRDefault="00E4336C" w:rsidP="00E4336C">
      <w:pPr>
        <w:spacing w:before="30" w:after="120"/>
        <w:ind w:right="-20"/>
        <w:rPr>
          <w:rFonts w:ascii="Arial" w:hAnsi="Arial" w:cs="Arial"/>
          <w:sz w:val="24"/>
          <w:szCs w:val="24"/>
          <w14:ligatures w14:val="standardContextual"/>
        </w:rPr>
      </w:pPr>
    </w:p>
    <w:p w14:paraId="4123F8BA" w14:textId="220BF510" w:rsidR="00E4336C" w:rsidRDefault="00E4336C" w:rsidP="00E4336C">
      <w:pPr>
        <w:spacing w:before="30" w:after="120"/>
        <w:ind w:right="-20"/>
        <w:jc w:val="center"/>
        <w:rPr>
          <w:rFonts w:ascii="Arial" w:hAnsi="Arial" w:cs="Arial"/>
          <w:sz w:val="24"/>
          <w:szCs w:val="24"/>
          <w14:ligatures w14:val="standardContextual"/>
        </w:rPr>
      </w:pPr>
      <w:r w:rsidRPr="00E4336C">
        <w:rPr>
          <w:rFonts w:ascii="Arial" w:hAnsi="Arial" w:cs="Arial"/>
          <w:sz w:val="24"/>
          <w:szCs w:val="24"/>
          <w14:ligatures w14:val="standardContextual"/>
        </w:rPr>
        <w:t xml:space="preserve"> </w:t>
      </w:r>
      <w:hyperlink r:id="rId13" w:history="1">
        <w:r w:rsidRPr="00125B74">
          <w:rPr>
            <w:rStyle w:val="Hyperlink"/>
            <w:rFonts w:ascii="Arial" w:hAnsi="Arial" w:cs="Arial"/>
            <w:sz w:val="24"/>
            <w:szCs w:val="24"/>
            <w14:ligatures w14:val="standardContextual"/>
          </w:rPr>
          <w:t>https://87399.themediaframe.eu/links/otegroup260508.html</w:t>
        </w:r>
      </w:hyperlink>
    </w:p>
    <w:p w14:paraId="06AA8CEC" w14:textId="321094A9" w:rsidR="00C44A3C" w:rsidRPr="00FB20CB" w:rsidRDefault="00E4336C" w:rsidP="00E4336C">
      <w:pPr>
        <w:spacing w:before="30" w:after="120"/>
        <w:ind w:right="-20"/>
        <w:jc w:val="center"/>
        <w:rPr>
          <w:rFonts w:ascii="Arial" w:hAnsi="Arial" w:cs="Arial"/>
          <w:color w:val="0000FF"/>
          <w14:ligatures w14:val="standardContextual"/>
        </w:rPr>
      </w:pPr>
      <w:r w:rsidRPr="00E4336C">
        <w:rPr>
          <w:rFonts w:ascii="Arial" w:hAnsi="Arial" w:cs="Arial"/>
          <w:sz w:val="24"/>
          <w:szCs w:val="24"/>
          <w14:ligatures w14:val="standardContextual"/>
        </w:rPr>
        <w:t xml:space="preserve"> </w:t>
      </w:r>
      <w:r w:rsidR="00C44A3C" w:rsidRPr="00FB20CB">
        <w:rPr>
          <w:rFonts w:ascii="Arial" w:hAnsi="Arial" w:cs="Arial"/>
          <w:color w:val="0000FF"/>
          <w14:ligatures w14:val="standardContextual"/>
        </w:rPr>
        <w:t xml:space="preserve"> </w:t>
      </w:r>
    </w:p>
    <w:p w14:paraId="7D148067" w14:textId="7D92E00F" w:rsidR="009E285A" w:rsidRPr="003E218F" w:rsidRDefault="00A6742C" w:rsidP="00C44A3C">
      <w:pPr>
        <w:spacing w:before="30" w:after="120"/>
        <w:ind w:right="-20"/>
        <w:jc w:val="center"/>
        <w:rPr>
          <w:rFonts w:ascii="Arial" w:eastAsia="Arial Narrow" w:hAnsi="Arial" w:cs="Arial"/>
          <w:i/>
          <w:spacing w:val="1"/>
          <w:kern w:val="2"/>
          <w14:ligatures w14:val="standardContextual"/>
        </w:rPr>
      </w:pPr>
      <w:r>
        <w:rPr>
          <w:rFonts w:ascii="Arial" w:hAnsi="Arial" w:cs="Arial"/>
          <w:noProof/>
          <w:u w:val="single"/>
        </w:rPr>
        <mc:AlternateContent>
          <mc:Choice Requires="wps">
            <w:drawing>
              <wp:anchor distT="0" distB="0" distL="114300" distR="114300" simplePos="0" relativeHeight="251658241" behindDoc="0" locked="0" layoutInCell="1" allowOverlap="1" wp14:anchorId="185C53A8" wp14:editId="4513D109">
                <wp:simplePos x="0" y="0"/>
                <wp:positionH relativeFrom="column">
                  <wp:posOffset>-1111250</wp:posOffset>
                </wp:positionH>
                <wp:positionV relativeFrom="paragraph">
                  <wp:posOffset>332105</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ED1D2" id="Straight Connector 13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6.15pt" to="561.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BYQr2uEAAAALAQAADwAA&#10;AGRycy9kb3ducmV2LnhtbEyPzW7CMBCE75X6DtZW6g2cHwVQiIMAiUMvpaWlvZp4SSLsdRQbkr59&#10;zak9zs5o9ptiNRrNbti71pKAeBoBQ6qsaqkW8PmxmyyAOS9JSW0JBfygg1X5+FDIXNmB3vF28DUL&#10;JeRyKaDxvss5d1WDRrqp7ZCCd7a9kT7Ivuaql0MoN5onUTTjRrYUPjSyw22D1eVwNQL2Jrlkm/Y1&#10;fjFf2++jHtb7uX4T4vlpXC+BeRz9Xxju+AEdysB0sldSjmkBk3iehTFeQJakwO6JOElnwE7hkqbA&#10;y4L/31D+AgAA//8DAFBLAQItABQABgAIAAAAIQC2gziS/gAAAOEBAAATAAAAAAAAAAAAAAAAAAAA&#10;AABbQ29udGVudF9UeXBlc10ueG1sUEsBAi0AFAAGAAgAAAAhADj9If/WAAAAlAEAAAsAAAAAAAAA&#10;AAAAAAAALwEAAF9yZWxzLy5yZWxzUEsBAi0AFAAGAAgAAAAhAMG4oJvEAQAA4gMAAA4AAAAAAAAA&#10;AAAAAAAALgIAAGRycy9lMm9Eb2MueG1sUEsBAi0AFAAGAAgAAAAhAAWEK9rhAAAACwEAAA8AAAAA&#10;AAAAAAAAAAAAHgQAAGRycy9kb3ducmV2LnhtbFBLBQYAAAAABAAEAPMAAAAsBQAAAAA=&#10;" strokecolor="#00a5e3" strokeweight=".5pt">
                <v:stroke joinstyle="miter"/>
              </v:line>
            </w:pict>
          </mc:Fallback>
        </mc:AlternateContent>
      </w:r>
      <w:r w:rsidR="009E285A" w:rsidRPr="001113A8">
        <w:rPr>
          <w:rFonts w:ascii="Arial" w:eastAsia="Arial Narrow" w:hAnsi="Arial" w:cs="Arial"/>
          <w:i/>
          <w:iCs/>
          <w:kern w:val="2"/>
          <w14:ligatures w14:val="standardContextual"/>
        </w:rPr>
        <w:t>Αν δυσκολεύεστε να συνδεθείτε μπορείτε να καλέσετε στο: +</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3</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2</w:t>
      </w:r>
      <w:r w:rsidR="009E285A" w:rsidRPr="001113A8">
        <w:rPr>
          <w:rFonts w:ascii="Arial" w:eastAsia="Arial Narrow" w:hAnsi="Arial" w:cs="Arial"/>
          <w:i/>
          <w:iCs/>
          <w:spacing w:val="1"/>
          <w:kern w:val="2"/>
          <w14:ligatures w14:val="standardContextual"/>
        </w:rPr>
        <w:t>1</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94</w:t>
      </w:r>
      <w:r w:rsidR="009E285A" w:rsidRPr="001113A8">
        <w:rPr>
          <w:rFonts w:ascii="Arial" w:eastAsia="Arial Narrow" w:hAnsi="Arial" w:cs="Arial"/>
          <w:i/>
          <w:iCs/>
          <w:spacing w:val="-1"/>
          <w:kern w:val="2"/>
          <w14:ligatures w14:val="standardContextual"/>
        </w:rPr>
        <w:t>6</w:t>
      </w:r>
      <w:r w:rsidR="009E285A" w:rsidRPr="001113A8">
        <w:rPr>
          <w:rFonts w:ascii="Arial" w:eastAsia="Arial Narrow" w:hAnsi="Arial" w:cs="Arial"/>
          <w:i/>
          <w:iCs/>
          <w:spacing w:val="1"/>
          <w:kern w:val="2"/>
          <w14:ligatures w14:val="standardContextual"/>
        </w:rPr>
        <w:t>0</w:t>
      </w:r>
      <w:r w:rsidR="009E285A" w:rsidRPr="001113A8">
        <w:rPr>
          <w:rFonts w:ascii="Arial" w:eastAsia="Arial Narrow" w:hAnsi="Arial" w:cs="Arial"/>
          <w:i/>
          <w:iCs/>
          <w:spacing w:val="-1"/>
          <w:kern w:val="2"/>
          <w14:ligatures w14:val="standardContextual"/>
        </w:rPr>
        <w:t>8</w:t>
      </w:r>
      <w:r w:rsidR="009E285A" w:rsidRPr="001113A8">
        <w:rPr>
          <w:rFonts w:ascii="Arial" w:eastAsia="Arial Narrow" w:hAnsi="Arial" w:cs="Arial"/>
          <w:i/>
          <w:iCs/>
          <w:spacing w:val="1"/>
          <w:kern w:val="2"/>
          <w14:ligatures w14:val="standardContextual"/>
        </w:rPr>
        <w:t>03</w:t>
      </w:r>
    </w:p>
    <w:p w14:paraId="2AB4676A" w14:textId="77777777" w:rsidR="00912C18" w:rsidRPr="003E218F" w:rsidRDefault="00912C18" w:rsidP="00C44A3C">
      <w:pPr>
        <w:spacing w:before="30" w:after="120"/>
        <w:ind w:right="-20"/>
        <w:jc w:val="center"/>
        <w:rPr>
          <w:rFonts w:ascii="Arial" w:eastAsia="Arial Narrow" w:hAnsi="Arial" w:cs="Arial"/>
          <w:i/>
          <w:iCs/>
          <w:spacing w:val="1"/>
          <w:kern w:val="2"/>
          <w14:ligatures w14:val="standardContextual"/>
        </w:rPr>
      </w:pPr>
    </w:p>
    <w:p w14:paraId="46849123" w14:textId="77777777" w:rsidR="00912C18" w:rsidRPr="003E218F" w:rsidRDefault="00912C18" w:rsidP="00C44A3C">
      <w:pPr>
        <w:spacing w:before="30" w:after="120"/>
        <w:ind w:right="-20"/>
        <w:jc w:val="center"/>
        <w:rPr>
          <w:rFonts w:ascii="Arial" w:eastAsia="Arial Narrow" w:hAnsi="Arial" w:cs="Arial"/>
          <w:i/>
          <w:iCs/>
          <w:kern w:val="2"/>
          <w14:ligatures w14:val="standardContextual"/>
        </w:rPr>
      </w:pPr>
    </w:p>
    <w:p w14:paraId="3995FB09" w14:textId="77C5DEEB"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AF68C2"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77AD2272" w14:textId="77777777" w:rsidR="002A7BA6" w:rsidRPr="00AF68C2" w:rsidRDefault="002A7BA6" w:rsidP="00413DFC">
      <w:pPr>
        <w:spacing w:after="120"/>
        <w:ind w:right="-2"/>
        <w:jc w:val="both"/>
        <w:rPr>
          <w:rFonts w:ascii="Arial" w:eastAsia="Calibri" w:hAnsi="Arial" w:cs="Arial"/>
          <w:kern w:val="2"/>
          <w14:ligatures w14:val="standardContextual"/>
        </w:rPr>
      </w:pPr>
    </w:p>
    <w:p w14:paraId="12E675F9" w14:textId="77777777" w:rsidR="002A7BA6" w:rsidRPr="00AF68C2" w:rsidRDefault="002A7BA6" w:rsidP="00413DFC">
      <w:pPr>
        <w:spacing w:after="120"/>
        <w:ind w:right="-2"/>
        <w:jc w:val="both"/>
        <w:rPr>
          <w:rFonts w:ascii="Arial" w:eastAsia="Calibri" w:hAnsi="Arial" w:cs="Arial"/>
          <w:kern w:val="2"/>
          <w14:ligatures w14:val="standardContextual"/>
        </w:rPr>
      </w:pPr>
    </w:p>
    <w:p w14:paraId="7019BD66" w14:textId="77777777" w:rsidR="00295641" w:rsidRPr="003332C1" w:rsidRDefault="00295641">
      <w:pPr>
        <w:rPr>
          <w:rFonts w:ascii="Arial" w:eastAsia="Times New Roman" w:hAnsi="Arial" w:cs="Arial"/>
          <w:b/>
          <w:color w:val="004E9A"/>
          <w:spacing w:val="5"/>
          <w:kern w:val="28"/>
          <w:sz w:val="24"/>
          <w:szCs w:val="52"/>
        </w:rPr>
      </w:pPr>
      <w:r>
        <w:rPr>
          <w:rFonts w:cs="Arial"/>
        </w:rPr>
        <w:br w:type="page"/>
      </w:r>
    </w:p>
    <w:p w14:paraId="45271378" w14:textId="4DC3EAF6" w:rsidR="009E285A" w:rsidRPr="00FB20CB" w:rsidRDefault="009E285A" w:rsidP="00946AE7">
      <w:pPr>
        <w:pStyle w:val="Tittle2"/>
        <w:rPr>
          <w:rFonts w:cs="Arial"/>
        </w:rPr>
      </w:pPr>
      <w:r w:rsidRPr="00FB20CB">
        <w:rPr>
          <w:rFonts w:cs="Arial"/>
        </w:rPr>
        <w:lastRenderedPageBreak/>
        <w:t>Π</w:t>
      </w:r>
      <w:r w:rsidR="00946AE7" w:rsidRPr="00FB20CB">
        <w:rPr>
          <w:rFonts w:cs="Arial"/>
          <w:lang w:val="el-GR"/>
        </w:rPr>
        <w:t>ΙΝΑΚΕΣ</w:t>
      </w:r>
      <w:r w:rsidRPr="00FB20CB">
        <w:rPr>
          <w:rFonts w:cs="Arial"/>
        </w:rPr>
        <w:t xml:space="preserve"> </w:t>
      </w:r>
    </w:p>
    <w:p w14:paraId="57097306" w14:textId="77777777"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28B52FD2"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sidR="00295641">
        <w:rPr>
          <w:rFonts w:ascii="Arial" w:eastAsia="Calibri" w:hAnsi="Arial" w:cs="Arial"/>
          <w:kern w:val="2"/>
          <w14:ligatures w14:val="standardContextual"/>
        </w:rPr>
        <w:t>1</w:t>
      </w:r>
      <w:r w:rsidRPr="00552D79">
        <w:rPr>
          <w:rFonts w:ascii="Arial" w:eastAsia="Calibri" w:hAnsi="Arial" w:cs="Arial"/>
          <w:kern w:val="2"/>
          <w:vertAlign w:val="superscript"/>
          <w14:ligatures w14:val="standardContextual"/>
        </w:rPr>
        <w:t xml:space="preserve">ης </w:t>
      </w:r>
      <w:r w:rsidR="00956AD4">
        <w:rPr>
          <w:rFonts w:ascii="Arial" w:eastAsia="Calibri" w:hAnsi="Arial" w:cs="Arial"/>
          <w:bCs/>
          <w:kern w:val="2"/>
          <w14:ligatures w14:val="standardContextual"/>
        </w:rPr>
        <w:t>Μαρτίου</w:t>
      </w:r>
      <w:r w:rsidR="003F0920">
        <w:rPr>
          <w:rFonts w:ascii="Arial" w:eastAsia="Calibri" w:hAnsi="Arial" w:cs="Arial"/>
          <w:bCs/>
          <w:kern w:val="2"/>
          <w14:ligatures w14:val="standardContextual"/>
        </w:rPr>
        <w:t xml:space="preserve"> </w:t>
      </w:r>
      <w:r w:rsidRPr="00552D79">
        <w:rPr>
          <w:rFonts w:ascii="Arial" w:eastAsia="Calibri" w:hAnsi="Arial" w:cs="Arial"/>
          <w:bCs/>
          <w:kern w:val="2"/>
          <w14:ligatures w14:val="standardContextual"/>
        </w:rPr>
        <w:t>202</w:t>
      </w:r>
      <w:r w:rsidR="00956AD4">
        <w:rPr>
          <w:rFonts w:ascii="Arial" w:eastAsia="Calibri" w:hAnsi="Arial" w:cs="Arial"/>
          <w:bCs/>
          <w:kern w:val="2"/>
          <w14:ligatures w14:val="standardContextual"/>
        </w:rPr>
        <w:t>6</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Δεκεμβρίου 202</w:t>
      </w:r>
      <w:r w:rsidR="00956AD4">
        <w:rPr>
          <w:rFonts w:ascii="Arial" w:eastAsia="Calibri" w:hAnsi="Arial" w:cs="Arial"/>
          <w:bCs/>
          <w:kern w:val="2"/>
          <w14:ligatures w14:val="standardContextual"/>
        </w:rPr>
        <w:t>5</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 </w:t>
      </w:r>
    </w:p>
    <w:p w14:paraId="1AE0CE52" w14:textId="52CB0FE1"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 xml:space="preserve">Ενοποιημένη Κατάσταση Αποτελεσμάτων για το τρίμηνο που έληξε στις </w:t>
      </w:r>
      <w:r w:rsidR="00BE21AD">
        <w:rPr>
          <w:rFonts w:ascii="Arial" w:eastAsia="Calibri" w:hAnsi="Arial" w:cs="Arial"/>
          <w:kern w:val="2"/>
          <w14:ligatures w14:val="standardContextual"/>
        </w:rPr>
        <w:t>3</w:t>
      </w:r>
      <w:r w:rsidR="00295641">
        <w:rPr>
          <w:rFonts w:ascii="Arial" w:eastAsia="Calibri" w:hAnsi="Arial" w:cs="Arial"/>
          <w:kern w:val="2"/>
          <w14:ligatures w14:val="standardContextual"/>
        </w:rPr>
        <w:t>1</w:t>
      </w:r>
      <w:r w:rsidR="00BE21AD">
        <w:rPr>
          <w:rFonts w:ascii="Arial" w:eastAsia="Calibri" w:hAnsi="Arial" w:cs="Arial"/>
          <w:kern w:val="2"/>
          <w14:ligatures w14:val="standardContextual"/>
        </w:rPr>
        <w:t xml:space="preserve"> </w:t>
      </w:r>
      <w:r w:rsidR="00956AD4">
        <w:rPr>
          <w:rFonts w:ascii="Arial" w:eastAsia="Calibri" w:hAnsi="Arial" w:cs="Arial"/>
          <w:bCs/>
          <w:kern w:val="2"/>
          <w14:ligatures w14:val="standardContextual"/>
        </w:rPr>
        <w:t>Μαρτίου</w:t>
      </w:r>
      <w:r w:rsidR="00D64EE4">
        <w:rPr>
          <w:rFonts w:ascii="Arial" w:eastAsia="Calibri" w:hAnsi="Arial" w:cs="Arial"/>
          <w:bCs/>
          <w:kern w:val="2"/>
          <w14:ligatures w14:val="standardContextual"/>
        </w:rPr>
        <w:t xml:space="preserve"> </w:t>
      </w:r>
      <w:r w:rsidR="00E9726B" w:rsidRPr="00552D79">
        <w:rPr>
          <w:rFonts w:ascii="Arial" w:eastAsia="Calibri" w:hAnsi="Arial" w:cs="Arial"/>
          <w:bCs/>
          <w:kern w:val="2"/>
          <w14:ligatures w14:val="standardContextual"/>
        </w:rPr>
        <w:t>202</w:t>
      </w:r>
      <w:r w:rsidR="00956AD4">
        <w:rPr>
          <w:rFonts w:ascii="Arial" w:eastAsia="Calibri" w:hAnsi="Arial" w:cs="Arial"/>
          <w:bCs/>
          <w:kern w:val="2"/>
          <w14:ligatures w14:val="standardContextual"/>
        </w:rPr>
        <w:t>6</w:t>
      </w:r>
      <w:r w:rsidR="00E9726B"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956AD4">
        <w:rPr>
          <w:rFonts w:ascii="Arial" w:eastAsia="Calibri" w:hAnsi="Arial" w:cs="Arial"/>
          <w:bCs/>
          <w:kern w:val="2"/>
          <w14:ligatures w14:val="standardContextual"/>
        </w:rPr>
        <w:t>5</w:t>
      </w:r>
    </w:p>
    <w:p w14:paraId="3D57EBC4" w14:textId="51AEF120" w:rsidR="00ED5F91" w:rsidRDefault="009E285A" w:rsidP="000A16E4">
      <w:pPr>
        <w:numPr>
          <w:ilvl w:val="0"/>
          <w:numId w:val="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 xml:space="preserve">που έληξε στις </w:t>
      </w:r>
      <w:r w:rsidR="00BE21AD">
        <w:rPr>
          <w:rFonts w:ascii="Arial" w:eastAsia="Calibri" w:hAnsi="Arial" w:cs="Arial"/>
          <w:kern w:val="2"/>
          <w14:ligatures w14:val="standardContextual"/>
        </w:rPr>
        <w:t>3</w:t>
      </w:r>
      <w:r w:rsidR="00295641">
        <w:rPr>
          <w:rFonts w:ascii="Arial" w:eastAsia="Calibri" w:hAnsi="Arial" w:cs="Arial"/>
          <w:kern w:val="2"/>
          <w14:ligatures w14:val="standardContextual"/>
        </w:rPr>
        <w:t>1</w:t>
      </w:r>
      <w:r w:rsidR="00BE21AD">
        <w:rPr>
          <w:rFonts w:ascii="Arial" w:eastAsia="Calibri" w:hAnsi="Arial" w:cs="Arial"/>
          <w:kern w:val="2"/>
          <w14:ligatures w14:val="standardContextual"/>
        </w:rPr>
        <w:t xml:space="preserve"> </w:t>
      </w:r>
      <w:r w:rsidR="00956AD4">
        <w:rPr>
          <w:rFonts w:ascii="Arial" w:eastAsia="Calibri" w:hAnsi="Arial" w:cs="Arial"/>
          <w:bCs/>
          <w:kern w:val="2"/>
          <w14:ligatures w14:val="standardContextual"/>
        </w:rPr>
        <w:t>Μαρτίου</w:t>
      </w:r>
      <w:r w:rsidR="00D64EE4">
        <w:rPr>
          <w:rFonts w:ascii="Arial" w:eastAsia="Calibri" w:hAnsi="Arial" w:cs="Arial"/>
          <w:bCs/>
          <w:kern w:val="2"/>
          <w14:ligatures w14:val="standardContextual"/>
        </w:rPr>
        <w:t xml:space="preserve"> </w:t>
      </w:r>
      <w:r w:rsidR="00BE21AD" w:rsidRPr="00552D79">
        <w:rPr>
          <w:rFonts w:ascii="Arial" w:eastAsia="Calibri" w:hAnsi="Arial" w:cs="Arial"/>
          <w:bCs/>
          <w:kern w:val="2"/>
          <w14:ligatures w14:val="standardContextual"/>
        </w:rPr>
        <w:t>202</w:t>
      </w:r>
      <w:r w:rsidR="00956AD4">
        <w:rPr>
          <w:rFonts w:ascii="Arial" w:eastAsia="Calibri" w:hAnsi="Arial" w:cs="Arial"/>
          <w:bCs/>
          <w:kern w:val="2"/>
          <w14:ligatures w14:val="standardContextual"/>
        </w:rPr>
        <w:t>6</w:t>
      </w:r>
      <w:r w:rsidR="00BE21AD"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956AD4">
        <w:rPr>
          <w:rFonts w:ascii="Arial" w:eastAsia="Calibri" w:hAnsi="Arial" w:cs="Arial"/>
          <w:bCs/>
          <w:kern w:val="2"/>
          <w14:ligatures w14:val="standardContextual"/>
        </w:rPr>
        <w:t>5</w:t>
      </w:r>
    </w:p>
    <w:p w14:paraId="30974ACB" w14:textId="2F83F81F" w:rsidR="003E408D" w:rsidRPr="00051E74" w:rsidRDefault="00ED5F91" w:rsidP="003E408D">
      <w:pPr>
        <w:spacing w:after="0" w:line="240" w:lineRule="auto"/>
        <w:jc w:val="both"/>
        <w:rPr>
          <w:rFonts w:ascii="Arial" w:eastAsia="Times New Roman" w:hAnsi="Arial" w:cs="Arial"/>
          <w:b/>
          <w:color w:val="00B0F0"/>
          <w:sz w:val="24"/>
          <w:szCs w:val="24"/>
        </w:rPr>
      </w:pPr>
      <w:r>
        <w:rPr>
          <w:rFonts w:ascii="Arial" w:eastAsia="Calibri" w:hAnsi="Arial" w:cs="Arial"/>
          <w:bCs/>
          <w:kern w:val="2"/>
          <w14:ligatures w14:val="standardContextual"/>
        </w:rPr>
        <w:br w:type="page"/>
      </w:r>
      <w:r w:rsidR="003E408D" w:rsidRPr="00FB20CB">
        <w:rPr>
          <w:rFonts w:ascii="Arial" w:eastAsia="Times New Roman" w:hAnsi="Arial" w:cs="Arial"/>
          <w:b/>
          <w:color w:val="004E9A"/>
          <w:sz w:val="24"/>
          <w:szCs w:val="24"/>
          <w:lang w:eastAsia="el-GR"/>
        </w:rPr>
        <w:lastRenderedPageBreak/>
        <w:t>Ι. ΕΝΑΛΛΑΚΤΙΚΟΙ ΔΕΙΚΤΕΣ ΜΕΤΡΗΣΗΣ ΑΠΟΔΟΣΗΣ</w:t>
      </w:r>
      <w:r w:rsidR="003E408D">
        <w:rPr>
          <w:rFonts w:ascii="Arial" w:eastAsia="Times New Roman" w:hAnsi="Arial" w:cs="Arial"/>
          <w:b/>
          <w:color w:val="00B0F0"/>
          <w:sz w:val="24"/>
          <w:szCs w:val="24"/>
        </w:rPr>
        <w:t xml:space="preserve"> </w:t>
      </w:r>
    </w:p>
    <w:p w14:paraId="371D14DB" w14:textId="77777777" w:rsidR="003E408D" w:rsidRPr="00806D3A" w:rsidRDefault="003E408D" w:rsidP="003E408D">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2" behindDoc="0" locked="0" layoutInCell="1" allowOverlap="1" wp14:anchorId="6818F6FB" wp14:editId="20C7DEEA">
                <wp:simplePos x="0" y="0"/>
                <wp:positionH relativeFrom="column">
                  <wp:posOffset>2752</wp:posOffset>
                </wp:positionH>
                <wp:positionV relativeFrom="paragraph">
                  <wp:posOffset>11642</wp:posOffset>
                </wp:positionV>
                <wp:extent cx="664083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3FC62" id="Straight Connector 2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5D2EF658" w14:textId="0BEC4FB3" w:rsidR="0038168F" w:rsidRDefault="0038168F" w:rsidP="0038168F">
      <w:pPr>
        <w:pStyle w:val="ListParagraph"/>
        <w:tabs>
          <w:tab w:val="left" w:pos="0"/>
        </w:tabs>
        <w:ind w:left="0"/>
        <w:jc w:val="both"/>
        <w:rPr>
          <w:rFonts w:ascii="Arial" w:hAnsi="Arial" w:cs="Arial"/>
          <w:sz w:val="22"/>
          <w:szCs w:val="22"/>
          <w:lang w:val="el-GR"/>
        </w:rPr>
      </w:pPr>
      <w:bookmarkStart w:id="6" w:name="_Hlk221881339"/>
      <w:r w:rsidRPr="00A0109A">
        <w:rPr>
          <w:rFonts w:ascii="Arial" w:hAnsi="Arial" w:cs="Arial"/>
          <w:sz w:val="22"/>
          <w:szCs w:val="22"/>
          <w:lang w:val="el-GR"/>
        </w:rPr>
        <w:t xml:space="preserve">Ο Όμιλος χρησιμοποιεί Εναλλακτικούς Δείκτες Μέτρησης Απόδοσης («ΕΔΜΑ”) στο πλαίσιο λήψης αποφάσεων καθώς και για την αξιολόγηση των επιδόσεών του. Οι ΕΔΜΑ καθώς και οι αντίστοιχοι προσαρμοσμένοι δείκτες </w:t>
      </w:r>
      <w:r w:rsidR="00F15B20" w:rsidRPr="00A0109A">
        <w:rPr>
          <w:rFonts w:ascii="Arial" w:hAnsi="Arial" w:cs="Arial"/>
          <w:sz w:val="22"/>
          <w:szCs w:val="22"/>
          <w:lang w:val="el-GR"/>
        </w:rPr>
        <w:t xml:space="preserve">εξυπηρετούν στην καλύτερη κατανόηση των επιδόσεων του Ομίλου και </w:t>
      </w:r>
      <w:r w:rsidRPr="00A0109A">
        <w:rPr>
          <w:rFonts w:ascii="Arial" w:hAnsi="Arial" w:cs="Arial"/>
          <w:sz w:val="22"/>
          <w:szCs w:val="22"/>
          <w:lang w:val="el-GR"/>
        </w:rPr>
        <w:t>υπολογίζονται χρησιμοποιώντας τα ποσά από τις χρηματοοικονομικές καταστάσεις του Ομίλου καθώς και τα παρακάτω στοιχεία, τα οποία λόγω της φύσης τους επηρεάζουν την συγκρισιμότητα των μεγεθών.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w:t>
      </w:r>
      <w:r w:rsidR="00703B47" w:rsidRPr="00A0109A">
        <w:rPr>
          <w:rFonts w:ascii="Arial" w:hAnsi="Arial" w:cs="Arial"/>
          <w:sz w:val="22"/>
          <w:szCs w:val="22"/>
          <w:lang w:val="el-GR"/>
        </w:rPr>
        <w:t xml:space="preserve">, </w:t>
      </w:r>
      <w:r w:rsidRPr="00A0109A">
        <w:rPr>
          <w:rFonts w:ascii="Arial" w:hAnsi="Arial" w:cs="Arial"/>
          <w:sz w:val="22"/>
          <w:szCs w:val="22"/>
          <w:lang w:val="el-GR"/>
        </w:rPr>
        <w:t>ώστε να διευκολυνθεί η σύγκριση μεταξύ των εταιρειών της αγοράς τηλεπικοινωνιών και να κατανοήσει ο επενδυτής καλύτερα τις επιδόσεις του Ομίλου</w:t>
      </w:r>
      <w:r w:rsidR="00703B47" w:rsidRPr="00A0109A">
        <w:rPr>
          <w:rFonts w:ascii="Arial" w:hAnsi="Arial" w:cs="Arial"/>
          <w:sz w:val="22"/>
          <w:szCs w:val="22"/>
          <w:lang w:val="el-GR"/>
        </w:rPr>
        <w:t>.</w:t>
      </w:r>
      <w:r w:rsidRPr="00A0109A">
        <w:rPr>
          <w:rFonts w:ascii="Arial" w:hAnsi="Arial" w:cs="Arial"/>
          <w:sz w:val="22"/>
          <w:szCs w:val="22"/>
          <w:lang w:val="el-GR"/>
        </w:rPr>
        <w:t xml:space="preserve">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r w:rsidRPr="0038168F">
        <w:rPr>
          <w:rFonts w:ascii="Arial" w:hAnsi="Arial" w:cs="Arial"/>
          <w:sz w:val="22"/>
          <w:szCs w:val="22"/>
          <w:lang w:val="el-GR"/>
        </w:rPr>
        <w:t xml:space="preserve"> </w:t>
      </w:r>
    </w:p>
    <w:bookmarkEnd w:id="6"/>
    <w:p w14:paraId="4AB8E237" w14:textId="77777777" w:rsidR="0038168F" w:rsidRDefault="0038168F" w:rsidP="0038168F">
      <w:pPr>
        <w:pStyle w:val="ListParagraph"/>
        <w:tabs>
          <w:tab w:val="left" w:pos="0"/>
        </w:tabs>
        <w:ind w:left="0"/>
        <w:jc w:val="both"/>
        <w:rPr>
          <w:rFonts w:ascii="Arial" w:hAnsi="Arial" w:cs="Arial"/>
          <w:sz w:val="22"/>
          <w:szCs w:val="22"/>
          <w:lang w:val="el-GR"/>
        </w:rPr>
      </w:pPr>
    </w:p>
    <w:p w14:paraId="31B1C66F" w14:textId="5CD11C13" w:rsidR="009E285A" w:rsidRPr="0038168F" w:rsidRDefault="009E285A" w:rsidP="0038168F">
      <w:pPr>
        <w:pStyle w:val="ListParagraph"/>
        <w:numPr>
          <w:ilvl w:val="0"/>
          <w:numId w:val="4"/>
        </w:numPr>
        <w:tabs>
          <w:tab w:val="left" w:pos="0"/>
        </w:tabs>
        <w:ind w:left="0" w:firstLine="0"/>
        <w:jc w:val="both"/>
        <w:rPr>
          <w:rFonts w:ascii="Arial" w:hAnsi="Arial" w:cs="Arial"/>
          <w:sz w:val="22"/>
          <w:szCs w:val="22"/>
          <w:lang w:val="el-GR"/>
        </w:rPr>
      </w:pPr>
      <w:r w:rsidRPr="0038168F">
        <w:rPr>
          <w:rFonts w:ascii="Arial" w:hAnsi="Arial" w:cs="Arial"/>
          <w:b/>
          <w:color w:val="004B87"/>
          <w:sz w:val="22"/>
          <w:szCs w:val="22"/>
          <w:u w:val="single"/>
          <w:lang w:val="el-GR"/>
        </w:rPr>
        <w:t>Κόστη ή καταβολές σχετιζόμενα με προγράμματα εθελούσιας αποχώρησης:</w:t>
      </w:r>
      <w:r w:rsidRPr="0038168F">
        <w:rPr>
          <w:rFonts w:ascii="Arial" w:hAnsi="Arial" w:cs="Arial"/>
          <w:b/>
          <w:color w:val="004B87"/>
          <w:sz w:val="22"/>
          <w:szCs w:val="22"/>
          <w:lang w:val="el-GR"/>
        </w:rPr>
        <w:t xml:space="preserve"> </w:t>
      </w:r>
      <w:bookmarkStart w:id="7" w:name="_Hlk121913048"/>
      <w:r w:rsidRPr="0038168F">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End w:id="7"/>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Pr="00C1017D"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p>
    <w:p w14:paraId="624003B8" w14:textId="77777777" w:rsidR="000750F4" w:rsidRPr="00253DEA" w:rsidRDefault="000750F4" w:rsidP="00537848">
      <w:pPr>
        <w:pStyle w:val="Default"/>
        <w:jc w:val="both"/>
        <w:rPr>
          <w:rFonts w:ascii="Arial" w:hAnsi="Arial" w:cs="Arial"/>
          <w:color w:val="auto"/>
          <w:sz w:val="22"/>
          <w:szCs w:val="22"/>
        </w:rPr>
      </w:pPr>
    </w:p>
    <w:p w14:paraId="242D18B0" w14:textId="544D3EBA" w:rsidR="002E3511"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41156888" w14:textId="77777777" w:rsidR="00A60448" w:rsidRPr="003B452A" w:rsidRDefault="00A60448" w:rsidP="00A60448">
      <w:pPr>
        <w:rPr>
          <w:rFonts w:ascii="Arial" w:hAnsi="Arial" w:cs="Arial"/>
        </w:rPr>
      </w:pPr>
    </w:p>
    <w:p w14:paraId="5D6FB6A8" w14:textId="47A97C41" w:rsidR="00A60448" w:rsidRPr="00FA32A1" w:rsidRDefault="004058B9" w:rsidP="00FA32A1">
      <w:pPr>
        <w:rPr>
          <w:rFonts w:ascii="Arial" w:eastAsia="Calibri" w:hAnsi="Arial" w:cs="Arial"/>
          <w:b/>
          <w:u w:val="single"/>
        </w:rPr>
      </w:pPr>
      <w:r w:rsidRPr="00FA32A1">
        <w:rPr>
          <w:rFonts w:ascii="Arial" w:eastAsia="Calibri" w:hAnsi="Arial" w:cs="Arial"/>
          <w:b/>
          <w:u w:val="single"/>
        </w:rPr>
        <w:t>ΟΡΙΣΜΟΙ ΚΑΙ ΣΥΜΦΩΝΙΑ ΤΩΝ ΕΝΑΛΛΑΚΤΙΚΩΝ ΔΕΙΚΤΩΝ ΜΕΤΡΗΣΗΣ ΑΠΟΔΟΣΗΣ (‘’ΕΔΜΑ’’)</w:t>
      </w:r>
    </w:p>
    <w:p w14:paraId="6200FBBF" w14:textId="32DEC12D" w:rsidR="009E1CD8" w:rsidRPr="005933BA" w:rsidRDefault="009E1CD8" w:rsidP="005933BA">
      <w:pPr>
        <w:pStyle w:val="OTENormal"/>
        <w:rPr>
          <w:rFonts w:ascii="Arial" w:hAnsi="Arial" w:cs="Arial"/>
        </w:rPr>
      </w:pPr>
      <w:r w:rsidRPr="005933BA">
        <w:rPr>
          <w:rFonts w:ascii="Arial" w:hAnsi="Arial" w:cs="Arial"/>
          <w:spacing w:val="0"/>
          <w:sz w:val="22"/>
          <w:szCs w:val="22"/>
        </w:rPr>
        <w:t>Oι</w:t>
      </w:r>
      <w:r w:rsidR="00AC35EE" w:rsidRPr="005933BA">
        <w:rPr>
          <w:rFonts w:ascii="Arial" w:hAnsi="Arial" w:cs="Arial"/>
          <w:spacing w:val="0"/>
          <w:sz w:val="22"/>
          <w:szCs w:val="22"/>
        </w:rPr>
        <w:t xml:space="preserve"> </w:t>
      </w:r>
      <w:r w:rsidRPr="005933BA">
        <w:rPr>
          <w:rFonts w:ascii="Arial" w:hAnsi="Arial" w:cs="Arial"/>
          <w:spacing w:val="0"/>
          <w:sz w:val="22"/>
          <w:szCs w:val="22"/>
        </w:rPr>
        <w:t>δραστηριότητες TELEKOM ROMANIA MOBILE COMMUNICATIONS αποτελούσαν για τον Όμιλο ξεχωριστό τομέα δραστηριοτήτων και ξεχωριστή μονάδα δημιουργίας ταμειακών ροών. Ως αποτέλεσμα, οι δραστηριότητες της για το έτος 2025 (μέχρι την ημερομηνία πώλησης), έχουν αντιμετωπισθεί ως διακοπείσες δραστηριότητες</w:t>
      </w:r>
      <w:r w:rsidR="00232BEE">
        <w:rPr>
          <w:rFonts w:ascii="Arial" w:hAnsi="Arial" w:cs="Arial"/>
          <w:spacing w:val="0"/>
          <w:sz w:val="22"/>
          <w:szCs w:val="22"/>
        </w:rPr>
        <w:t xml:space="preserve"> </w:t>
      </w:r>
      <w:r w:rsidR="00232BEE" w:rsidRPr="00232BEE">
        <w:rPr>
          <w:rFonts w:ascii="Arial" w:hAnsi="Arial" w:cs="Arial"/>
          <w:spacing w:val="0"/>
          <w:sz w:val="22"/>
          <w:szCs w:val="22"/>
        </w:rPr>
        <w:t xml:space="preserve"> </w:t>
      </w:r>
      <w:r w:rsidR="00232BEE">
        <w:rPr>
          <w:rFonts w:ascii="Arial" w:hAnsi="Arial" w:cs="Arial"/>
          <w:spacing w:val="0"/>
          <w:sz w:val="22"/>
          <w:szCs w:val="22"/>
        </w:rPr>
        <w:t>(</w:t>
      </w:r>
      <w:r w:rsidR="00232BEE">
        <w:rPr>
          <w:rFonts w:ascii="Arial" w:hAnsi="Arial" w:cs="Arial"/>
          <w:spacing w:val="0"/>
          <w:sz w:val="22"/>
          <w:szCs w:val="22"/>
        </w:rPr>
        <w:t xml:space="preserve">εκτός από </w:t>
      </w:r>
      <w:r w:rsidR="00232BEE" w:rsidRPr="000442FC">
        <w:rPr>
          <w:rFonts w:ascii="Arial" w:hAnsi="Arial" w:cs="Arial"/>
          <w:spacing w:val="0"/>
          <w:sz w:val="22"/>
          <w:szCs w:val="22"/>
        </w:rPr>
        <w:t>τον ισολογισμό 2025)</w:t>
      </w:r>
      <w:r w:rsidR="00232BEE">
        <w:rPr>
          <w:rFonts w:ascii="Arial" w:hAnsi="Arial" w:cs="Arial"/>
          <w:spacing w:val="0"/>
          <w:sz w:val="22"/>
          <w:szCs w:val="22"/>
        </w:rPr>
        <w:t>.</w:t>
      </w:r>
      <w:r w:rsidR="00232BEE">
        <w:rPr>
          <w:rFonts w:ascii="Arial" w:hAnsi="Arial" w:cs="Arial"/>
          <w:spacing w:val="0"/>
          <w:sz w:val="22"/>
          <w:szCs w:val="22"/>
        </w:rPr>
        <w:t xml:space="preserve"> </w:t>
      </w:r>
      <w:r w:rsidRPr="005933BA">
        <w:rPr>
          <w:rFonts w:ascii="Arial" w:hAnsi="Arial" w:cs="Arial"/>
          <w:spacing w:val="0"/>
          <w:sz w:val="22"/>
          <w:szCs w:val="22"/>
        </w:rPr>
        <w:t xml:space="preserve"> </w:t>
      </w:r>
    </w:p>
    <w:p w14:paraId="7118F033" w14:textId="795EBA66" w:rsidR="009E285A" w:rsidRPr="002E3511" w:rsidRDefault="009E285A" w:rsidP="00A6742C">
      <w:pPr>
        <w:rPr>
          <w:rFonts w:ascii="Arial" w:hAnsi="Arial" w:cs="Arial"/>
        </w:rPr>
      </w:pPr>
    </w:p>
    <w:p w14:paraId="266D824E" w14:textId="66F4DF13" w:rsidR="009E285A" w:rsidRPr="004C7B8A" w:rsidRDefault="009E285A" w:rsidP="0022549B">
      <w:pPr>
        <w:spacing w:after="0" w:line="240" w:lineRule="auto"/>
        <w:jc w:val="both"/>
        <w:rPr>
          <w:rFonts w:ascii="Arial" w:eastAsia="Times New Roman" w:hAnsi="Arial" w:cs="Arial"/>
          <w:b/>
          <w:color w:val="004B87"/>
        </w:rPr>
      </w:pPr>
      <w:bookmarkStart w:id="8" w:name="_Hlk126245861"/>
      <w:r w:rsidRPr="004C7B8A">
        <w:rPr>
          <w:rFonts w:ascii="Arial" w:eastAsia="Times New Roman" w:hAnsi="Arial" w:cs="Arial"/>
          <w:b/>
          <w:color w:val="004B87"/>
        </w:rPr>
        <w:t xml:space="preserve">Καθαρός Δανεισμός </w:t>
      </w:r>
    </w:p>
    <w:p w14:paraId="09886029" w14:textId="403A7ACD" w:rsidR="008E3861" w:rsidRDefault="009E285A" w:rsidP="00E22376">
      <w:pPr>
        <w:spacing w:line="280" w:lineRule="exact"/>
        <w:jc w:val="both"/>
        <w:rPr>
          <w:rFonts w:ascii="Arial" w:eastAsia="Times New Roman" w:hAnsi="Arial" w:cs="Arial"/>
        </w:rPr>
      </w:pPr>
      <w:r w:rsidRPr="0022549B">
        <w:rPr>
          <w:rFonts w:ascii="Arial" w:eastAsia="Times New Roman" w:hAnsi="Arial" w:cs="Arial"/>
          <w:lang w:val="en-US"/>
        </w:rPr>
        <w:t>O</w:t>
      </w:r>
      <w:r w:rsidRPr="001D7A36">
        <w:rPr>
          <w:rFonts w:ascii="Arial" w:eastAsia="Times New Roman" w:hAnsi="Arial" w:cs="Arial"/>
        </w:rPr>
        <w:t xml:space="preserve"> Καθαρός Δανεισμός χρησιμοποιείται για να αξιολογηθεί η κεφαλαιακή διάρθρωση του Ομίλου και η δυνατότητα μόχλευσης. Ο καθαρός δανεισμός υπολογίζεται προσθέτοντας στα μακροπρόθεσμα δάνεια, το βραχυπρόθεσμο</w:t>
      </w:r>
      <w:r w:rsidR="001473A8" w:rsidRPr="001473A8">
        <w:rPr>
          <w:rFonts w:ascii="Arial" w:eastAsia="Times New Roman" w:hAnsi="Arial" w:cs="Arial"/>
        </w:rPr>
        <w:t xml:space="preserve"> </w:t>
      </w:r>
      <w:r w:rsidRPr="001D7A36">
        <w:rPr>
          <w:rFonts w:ascii="Arial" w:eastAsia="Times New Roman" w:hAnsi="Arial" w:cs="Arial"/>
        </w:rPr>
        <w:t>μέρος μακροπρόθεσμων δανείων,</w:t>
      </w:r>
      <w:r w:rsidR="001473A8" w:rsidRPr="001473A8">
        <w:rPr>
          <w:rFonts w:ascii="Arial" w:eastAsia="Times New Roman" w:hAnsi="Arial" w:cs="Arial"/>
        </w:rPr>
        <w:t xml:space="preserve"> </w:t>
      </w:r>
      <w:r w:rsidRPr="001D7A36">
        <w:rPr>
          <w:rFonts w:ascii="Arial" w:eastAsia="Times New Roman" w:hAnsi="Arial" w:cs="Arial"/>
        </w:rPr>
        <w:t>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bookmarkEnd w:id="8"/>
    </w:p>
    <w:p w14:paraId="1E85EDE8" w14:textId="77777777" w:rsidR="008E3861" w:rsidRDefault="008E3861">
      <w:pPr>
        <w:rPr>
          <w:rFonts w:ascii="Arial" w:eastAsia="Times New Roman" w:hAnsi="Arial" w:cs="Arial"/>
        </w:rPr>
      </w:pPr>
      <w:r>
        <w:rPr>
          <w:rFonts w:ascii="Arial" w:eastAsia="Times New Roman" w:hAnsi="Arial" w:cs="Arial"/>
        </w:rPr>
        <w:br w:type="page"/>
      </w:r>
    </w:p>
    <w:p w14:paraId="40A976AC" w14:textId="7694D4A9" w:rsidR="007D3E42" w:rsidRPr="00FB20CB" w:rsidRDefault="007D3E42" w:rsidP="00BC2A75">
      <w:pPr>
        <w:pStyle w:val="Caption"/>
        <w:keepNext/>
        <w:rPr>
          <w:rFonts w:cs="Arial"/>
          <w:lang w:val="el-GR"/>
        </w:rPr>
      </w:pPr>
    </w:p>
    <w:tbl>
      <w:tblPr>
        <w:tblStyle w:val="TableGrid"/>
        <w:tblW w:w="10558"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736"/>
        <w:gridCol w:w="1911"/>
        <w:gridCol w:w="1911"/>
      </w:tblGrid>
      <w:tr w:rsidR="00A3106A" w:rsidRPr="00452CE7" w14:paraId="177FEC44" w14:textId="77777777" w:rsidTr="00E93819">
        <w:trPr>
          <w:trHeight w:val="341"/>
        </w:trPr>
        <w:tc>
          <w:tcPr>
            <w:tcW w:w="6736" w:type="dxa"/>
            <w:tcBorders>
              <w:top w:val="single" w:sz="2" w:space="0" w:color="808080" w:themeColor="background1" w:themeShade="80"/>
              <w:bottom w:val="single" w:sz="2" w:space="0" w:color="808080" w:themeColor="background1" w:themeShade="80"/>
            </w:tcBorders>
            <w:vAlign w:val="center"/>
          </w:tcPr>
          <w:p w14:paraId="22658231" w14:textId="5BC78F23" w:rsidR="00A3106A" w:rsidRPr="007E2F7E" w:rsidRDefault="00A3106A" w:rsidP="00A3106A">
            <w:pPr>
              <w:pStyle w:val="ColorfulList-Accent11"/>
              <w:tabs>
                <w:tab w:val="left" w:pos="0"/>
                <w:tab w:val="left" w:pos="284"/>
              </w:tabs>
              <w:ind w:left="0" w:right="-90"/>
              <w:rPr>
                <w:rFonts w:ascii="Arial" w:hAnsi="Arial" w:cs="Arial"/>
                <w:b/>
                <w:color w:val="000000" w:themeColor="text1"/>
                <w:sz w:val="18"/>
                <w:szCs w:val="18"/>
              </w:rPr>
            </w:pPr>
            <w:r w:rsidRPr="00A7639D">
              <w:rPr>
                <w:rFonts w:ascii="Arial" w:hAnsi="Arial" w:cs="Arial"/>
                <w:b/>
                <w:sz w:val="18"/>
                <w:szCs w:val="18"/>
              </w:rPr>
              <w:t>Όμιλος - (Ευρώ εκατ.)</w:t>
            </w:r>
          </w:p>
        </w:tc>
        <w:tc>
          <w:tcPr>
            <w:tcW w:w="1911" w:type="dxa"/>
            <w:tcBorders>
              <w:top w:val="single" w:sz="2" w:space="0" w:color="808080" w:themeColor="background1" w:themeShade="80"/>
              <w:bottom w:val="single" w:sz="2" w:space="0" w:color="808080" w:themeColor="background1" w:themeShade="80"/>
            </w:tcBorders>
            <w:vAlign w:val="center"/>
          </w:tcPr>
          <w:p w14:paraId="40D15B3E" w14:textId="4FC6A3AA" w:rsidR="00A3106A" w:rsidRPr="00253DEA" w:rsidRDefault="00FD70C5"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w:t>
            </w:r>
            <w:r w:rsidR="00CE4287">
              <w:rPr>
                <w:rFonts w:ascii="Arial" w:hAnsi="Arial" w:cs="Arial"/>
                <w:b/>
                <w:color w:val="000000" w:themeColor="text1"/>
                <w:sz w:val="18"/>
                <w:szCs w:val="18"/>
                <w:lang w:val="el-GR"/>
              </w:rPr>
              <w:t>1</w:t>
            </w:r>
            <w:r>
              <w:rPr>
                <w:rFonts w:ascii="Arial" w:hAnsi="Arial" w:cs="Arial"/>
                <w:b/>
                <w:color w:val="000000" w:themeColor="text1"/>
                <w:sz w:val="18"/>
                <w:szCs w:val="18"/>
                <w:lang w:val="el-GR"/>
              </w:rPr>
              <w:t>/</w:t>
            </w:r>
            <w:r w:rsidR="004650B8">
              <w:rPr>
                <w:rFonts w:ascii="Arial" w:hAnsi="Arial" w:cs="Arial"/>
                <w:b/>
                <w:color w:val="000000" w:themeColor="text1"/>
                <w:sz w:val="18"/>
                <w:szCs w:val="18"/>
                <w:lang w:val="el-GR"/>
              </w:rPr>
              <w:t>03</w:t>
            </w:r>
            <w:r w:rsidR="00A3106A" w:rsidRPr="00253DEA">
              <w:rPr>
                <w:rFonts w:ascii="Arial" w:hAnsi="Arial" w:cs="Arial"/>
                <w:b/>
                <w:color w:val="000000" w:themeColor="text1"/>
                <w:sz w:val="18"/>
                <w:szCs w:val="18"/>
                <w:lang w:val="el-GR"/>
              </w:rPr>
              <w:t>/202</w:t>
            </w:r>
            <w:r w:rsidR="004650B8">
              <w:rPr>
                <w:rFonts w:ascii="Arial" w:hAnsi="Arial" w:cs="Arial"/>
                <w:b/>
                <w:color w:val="000000" w:themeColor="text1"/>
                <w:sz w:val="18"/>
                <w:szCs w:val="18"/>
                <w:lang w:val="el-GR"/>
              </w:rPr>
              <w:t>6</w:t>
            </w:r>
          </w:p>
        </w:tc>
        <w:tc>
          <w:tcPr>
            <w:tcW w:w="1911" w:type="dxa"/>
            <w:tcBorders>
              <w:top w:val="single" w:sz="2" w:space="0" w:color="808080" w:themeColor="background1" w:themeShade="80"/>
              <w:bottom w:val="single" w:sz="2" w:space="0" w:color="808080" w:themeColor="background1" w:themeShade="80"/>
            </w:tcBorders>
            <w:vAlign w:val="center"/>
          </w:tcPr>
          <w:p w14:paraId="3AA643B3" w14:textId="206A351A" w:rsidR="00A3106A" w:rsidRPr="00253DEA" w:rsidRDefault="004650B8"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31/03/2025</w:t>
            </w:r>
          </w:p>
        </w:tc>
      </w:tr>
      <w:tr w:rsidR="008549B2" w:rsidRPr="00452CE7" w14:paraId="643CC7B4" w14:textId="77777777" w:rsidTr="00E93819">
        <w:trPr>
          <w:trHeight w:val="284"/>
        </w:trPr>
        <w:tc>
          <w:tcPr>
            <w:tcW w:w="6736" w:type="dxa"/>
            <w:tcBorders>
              <w:top w:val="single" w:sz="2" w:space="0" w:color="808080" w:themeColor="background1" w:themeShade="80"/>
            </w:tcBorders>
            <w:shd w:val="clear" w:color="auto" w:fill="FFFFFF" w:themeFill="background1"/>
            <w:vAlign w:val="center"/>
          </w:tcPr>
          <w:p w14:paraId="605985F3" w14:textId="11CB2AA7" w:rsidR="008549B2" w:rsidRPr="007E2F7E" w:rsidRDefault="008549B2" w:rsidP="008549B2">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Μακροπρόθεσμα δάνεια</w:t>
            </w:r>
          </w:p>
        </w:tc>
        <w:tc>
          <w:tcPr>
            <w:tcW w:w="1911" w:type="dxa"/>
            <w:tcBorders>
              <w:top w:val="single" w:sz="2" w:space="0" w:color="808080" w:themeColor="background1" w:themeShade="80"/>
            </w:tcBorders>
            <w:shd w:val="clear" w:color="auto" w:fill="FFFFFF" w:themeFill="background1"/>
            <w:vAlign w:val="center"/>
          </w:tcPr>
          <w:p w14:paraId="5430309E" w14:textId="3EEEA68B"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350</w:t>
            </w:r>
            <w:r w:rsidR="00482866">
              <w:rPr>
                <w:rFonts w:ascii="Arial" w:hAnsi="Arial" w:cs="Arial"/>
                <w:color w:val="000000"/>
                <w:sz w:val="18"/>
                <w:szCs w:val="18"/>
              </w:rPr>
              <w:t>,</w:t>
            </w:r>
            <w:r w:rsidRPr="00FF17B9">
              <w:rPr>
                <w:rFonts w:ascii="Arial" w:hAnsi="Arial" w:cs="Arial"/>
                <w:color w:val="000000"/>
                <w:sz w:val="18"/>
                <w:szCs w:val="18"/>
              </w:rPr>
              <w:t xml:space="preserve">0 </w:t>
            </w:r>
          </w:p>
        </w:tc>
        <w:tc>
          <w:tcPr>
            <w:tcW w:w="1911" w:type="dxa"/>
            <w:tcBorders>
              <w:top w:val="single" w:sz="2" w:space="0" w:color="808080" w:themeColor="background1" w:themeShade="80"/>
            </w:tcBorders>
            <w:shd w:val="clear" w:color="auto" w:fill="FFFFFF" w:themeFill="background1"/>
            <w:vAlign w:val="center"/>
          </w:tcPr>
          <w:p w14:paraId="57C60F10" w14:textId="66E225E6"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848</w:t>
            </w:r>
            <w:r w:rsidR="00482866">
              <w:rPr>
                <w:rFonts w:ascii="Arial" w:hAnsi="Arial" w:cs="Arial"/>
                <w:color w:val="000000"/>
                <w:sz w:val="18"/>
                <w:szCs w:val="18"/>
              </w:rPr>
              <w:t>,</w:t>
            </w:r>
            <w:r w:rsidRPr="00FF17B9">
              <w:rPr>
                <w:rFonts w:ascii="Arial" w:hAnsi="Arial" w:cs="Arial"/>
                <w:color w:val="000000"/>
                <w:sz w:val="18"/>
                <w:szCs w:val="18"/>
              </w:rPr>
              <w:t xml:space="preserve">8 </w:t>
            </w:r>
          </w:p>
        </w:tc>
      </w:tr>
      <w:tr w:rsidR="008549B2" w:rsidRPr="00452CE7" w14:paraId="78AFC0CC" w14:textId="77777777" w:rsidTr="00E93819">
        <w:trPr>
          <w:trHeight w:val="284"/>
        </w:trPr>
        <w:tc>
          <w:tcPr>
            <w:tcW w:w="6736" w:type="dxa"/>
            <w:shd w:val="clear" w:color="auto" w:fill="FFFFFF" w:themeFill="background1"/>
            <w:vAlign w:val="center"/>
          </w:tcPr>
          <w:p w14:paraId="2AFD3402" w14:textId="3A300297" w:rsidR="008549B2" w:rsidRPr="007E2F7E" w:rsidRDefault="008549B2" w:rsidP="008549B2">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Βραχυπρόθεσμο μέρος μακροπρόθεσμων δανείων</w:t>
            </w:r>
          </w:p>
        </w:tc>
        <w:tc>
          <w:tcPr>
            <w:tcW w:w="1911" w:type="dxa"/>
            <w:shd w:val="clear" w:color="auto" w:fill="FFFFFF" w:themeFill="background1"/>
            <w:vAlign w:val="center"/>
          </w:tcPr>
          <w:p w14:paraId="72455845" w14:textId="5D48BF4A"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499</w:t>
            </w:r>
            <w:r w:rsidR="00482866">
              <w:rPr>
                <w:rFonts w:ascii="Arial" w:hAnsi="Arial" w:cs="Arial"/>
                <w:color w:val="000000"/>
                <w:sz w:val="18"/>
                <w:szCs w:val="18"/>
              </w:rPr>
              <w:t>,</w:t>
            </w:r>
            <w:r w:rsidRPr="00FF17B9">
              <w:rPr>
                <w:rFonts w:ascii="Arial" w:hAnsi="Arial" w:cs="Arial"/>
                <w:color w:val="000000"/>
                <w:sz w:val="18"/>
                <w:szCs w:val="18"/>
              </w:rPr>
              <w:t xml:space="preserve">6 </w:t>
            </w:r>
          </w:p>
        </w:tc>
        <w:tc>
          <w:tcPr>
            <w:tcW w:w="1911" w:type="dxa"/>
            <w:shd w:val="clear" w:color="auto" w:fill="FFFFFF" w:themeFill="background1"/>
            <w:vAlign w:val="center"/>
          </w:tcPr>
          <w:p w14:paraId="695839D6" w14:textId="75FA9C54" w:rsidR="008549B2" w:rsidRPr="004650B8" w:rsidRDefault="00695145" w:rsidP="008549B2">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color w:val="000000"/>
                <w:sz w:val="18"/>
                <w:szCs w:val="18"/>
                <w:lang w:val="el-GR"/>
              </w:rPr>
              <w:t>-</w:t>
            </w:r>
            <w:r w:rsidR="008549B2" w:rsidRPr="00FF17B9">
              <w:rPr>
                <w:rFonts w:ascii="Arial" w:hAnsi="Arial" w:cs="Arial"/>
                <w:color w:val="000000"/>
                <w:sz w:val="18"/>
                <w:szCs w:val="18"/>
              </w:rPr>
              <w:t xml:space="preserve"> </w:t>
            </w:r>
          </w:p>
        </w:tc>
      </w:tr>
      <w:tr w:rsidR="008549B2" w:rsidRPr="00452CE7" w14:paraId="489C1C03" w14:textId="77777777" w:rsidTr="00E93819">
        <w:trPr>
          <w:trHeight w:val="284"/>
        </w:trPr>
        <w:tc>
          <w:tcPr>
            <w:tcW w:w="6736" w:type="dxa"/>
            <w:shd w:val="clear" w:color="auto" w:fill="FFFFFF" w:themeFill="background1"/>
            <w:vAlign w:val="center"/>
          </w:tcPr>
          <w:p w14:paraId="14D3572E" w14:textId="5EE01DFD" w:rsidR="008549B2" w:rsidRPr="007E2F7E" w:rsidRDefault="008549B2" w:rsidP="008549B2">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Βραχυπρόθεσμα δάνεια</w:t>
            </w:r>
          </w:p>
        </w:tc>
        <w:tc>
          <w:tcPr>
            <w:tcW w:w="1911" w:type="dxa"/>
            <w:shd w:val="clear" w:color="auto" w:fill="FFFFFF" w:themeFill="background1"/>
            <w:vAlign w:val="center"/>
          </w:tcPr>
          <w:p w14:paraId="33B87FD9" w14:textId="563E6174" w:rsidR="008549B2" w:rsidRPr="004650B8" w:rsidRDefault="00695145" w:rsidP="008549B2">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color w:val="000000"/>
                <w:sz w:val="18"/>
                <w:szCs w:val="18"/>
                <w:lang w:val="el-GR"/>
              </w:rPr>
              <w:t>-</w:t>
            </w:r>
            <w:r w:rsidR="008549B2" w:rsidRPr="00FF17B9">
              <w:rPr>
                <w:rFonts w:ascii="Arial" w:hAnsi="Arial" w:cs="Arial"/>
                <w:color w:val="000000"/>
                <w:sz w:val="18"/>
                <w:szCs w:val="18"/>
              </w:rPr>
              <w:t xml:space="preserve"> </w:t>
            </w:r>
          </w:p>
        </w:tc>
        <w:tc>
          <w:tcPr>
            <w:tcW w:w="1911" w:type="dxa"/>
            <w:shd w:val="clear" w:color="auto" w:fill="FFFFFF" w:themeFill="background1"/>
            <w:vAlign w:val="center"/>
          </w:tcPr>
          <w:p w14:paraId="480D7DB3" w14:textId="3EC6F72C" w:rsidR="008549B2" w:rsidRPr="004650B8" w:rsidRDefault="00695145" w:rsidP="008549B2">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color w:val="000000"/>
                <w:sz w:val="18"/>
                <w:szCs w:val="18"/>
                <w:lang w:val="el-GR"/>
              </w:rPr>
              <w:t>-</w:t>
            </w:r>
            <w:r w:rsidR="008549B2" w:rsidRPr="00FF17B9">
              <w:rPr>
                <w:rFonts w:ascii="Arial" w:hAnsi="Arial" w:cs="Arial"/>
                <w:color w:val="000000"/>
                <w:sz w:val="18"/>
                <w:szCs w:val="18"/>
              </w:rPr>
              <w:t xml:space="preserve"> </w:t>
            </w:r>
          </w:p>
        </w:tc>
      </w:tr>
      <w:tr w:rsidR="008549B2" w:rsidRPr="00452CE7" w14:paraId="4ED37732" w14:textId="77777777" w:rsidTr="00E93819">
        <w:trPr>
          <w:trHeight w:val="284"/>
        </w:trPr>
        <w:tc>
          <w:tcPr>
            <w:tcW w:w="6736" w:type="dxa"/>
            <w:shd w:val="clear" w:color="auto" w:fill="FFFFFF" w:themeFill="background1"/>
            <w:vAlign w:val="bottom"/>
          </w:tcPr>
          <w:p w14:paraId="4D7E02E9" w14:textId="56EB6985" w:rsidR="008549B2" w:rsidRPr="00E93819" w:rsidRDefault="008549B2" w:rsidP="008549B2">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shd w:val="clear" w:color="auto" w:fill="FFFFFF" w:themeFill="background1"/>
            <w:vAlign w:val="center"/>
          </w:tcPr>
          <w:p w14:paraId="0DB68937" w14:textId="6BABCC69"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160</w:t>
            </w:r>
            <w:r w:rsidR="00482866">
              <w:rPr>
                <w:rFonts w:ascii="Arial" w:hAnsi="Arial" w:cs="Arial"/>
                <w:color w:val="000000"/>
                <w:sz w:val="18"/>
                <w:szCs w:val="18"/>
              </w:rPr>
              <w:t>,</w:t>
            </w:r>
            <w:r w:rsidRPr="00FF17B9">
              <w:rPr>
                <w:rFonts w:ascii="Arial" w:hAnsi="Arial" w:cs="Arial"/>
                <w:color w:val="000000"/>
                <w:sz w:val="18"/>
                <w:szCs w:val="18"/>
              </w:rPr>
              <w:t xml:space="preserve">1 </w:t>
            </w:r>
          </w:p>
        </w:tc>
        <w:tc>
          <w:tcPr>
            <w:tcW w:w="1911" w:type="dxa"/>
            <w:shd w:val="clear" w:color="auto" w:fill="FFFFFF" w:themeFill="background1"/>
            <w:vAlign w:val="center"/>
          </w:tcPr>
          <w:p w14:paraId="2EBAC990" w14:textId="46DE5A89"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185</w:t>
            </w:r>
            <w:r w:rsidR="00482866">
              <w:rPr>
                <w:rFonts w:ascii="Arial" w:hAnsi="Arial" w:cs="Arial"/>
                <w:color w:val="000000"/>
                <w:sz w:val="18"/>
                <w:szCs w:val="18"/>
              </w:rPr>
              <w:t>,</w:t>
            </w:r>
            <w:r w:rsidRPr="00FF17B9">
              <w:rPr>
                <w:rFonts w:ascii="Arial" w:hAnsi="Arial" w:cs="Arial"/>
                <w:color w:val="000000"/>
                <w:sz w:val="18"/>
                <w:szCs w:val="18"/>
              </w:rPr>
              <w:t xml:space="preserve">6 </w:t>
            </w:r>
          </w:p>
        </w:tc>
      </w:tr>
      <w:tr w:rsidR="008549B2" w:rsidRPr="00452CE7" w14:paraId="14977077" w14:textId="77777777" w:rsidTr="00E93819">
        <w:trPr>
          <w:trHeight w:val="284"/>
        </w:trPr>
        <w:tc>
          <w:tcPr>
            <w:tcW w:w="6736" w:type="dxa"/>
            <w:shd w:val="clear" w:color="auto" w:fill="FFFFFF" w:themeFill="background1"/>
            <w:vAlign w:val="bottom"/>
          </w:tcPr>
          <w:p w14:paraId="4567B518" w14:textId="203C01C3" w:rsidR="008549B2" w:rsidRPr="00E93819" w:rsidRDefault="008549B2" w:rsidP="008549B2">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shd w:val="clear" w:color="auto" w:fill="FFFFFF" w:themeFill="background1"/>
            <w:vAlign w:val="center"/>
          </w:tcPr>
          <w:p w14:paraId="45D11797" w14:textId="5C1BCB94"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49</w:t>
            </w:r>
            <w:r w:rsidR="00482866">
              <w:rPr>
                <w:rFonts w:ascii="Arial" w:hAnsi="Arial" w:cs="Arial"/>
                <w:color w:val="000000"/>
                <w:sz w:val="18"/>
                <w:szCs w:val="18"/>
              </w:rPr>
              <w:t>,</w:t>
            </w:r>
            <w:r w:rsidRPr="00FF17B9">
              <w:rPr>
                <w:rFonts w:ascii="Arial" w:hAnsi="Arial" w:cs="Arial"/>
                <w:color w:val="000000"/>
                <w:sz w:val="18"/>
                <w:szCs w:val="18"/>
              </w:rPr>
              <w:t xml:space="preserve">2 </w:t>
            </w:r>
          </w:p>
        </w:tc>
        <w:tc>
          <w:tcPr>
            <w:tcW w:w="1911" w:type="dxa"/>
            <w:shd w:val="clear" w:color="auto" w:fill="FFFFFF" w:themeFill="background1"/>
            <w:vAlign w:val="center"/>
          </w:tcPr>
          <w:p w14:paraId="0182DE51" w14:textId="765F510E"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67</w:t>
            </w:r>
            <w:r w:rsidR="00482866">
              <w:rPr>
                <w:rFonts w:ascii="Arial" w:hAnsi="Arial" w:cs="Arial"/>
                <w:color w:val="000000"/>
                <w:sz w:val="18"/>
                <w:szCs w:val="18"/>
              </w:rPr>
              <w:t>,</w:t>
            </w:r>
            <w:r w:rsidRPr="00FF17B9">
              <w:rPr>
                <w:rFonts w:ascii="Arial" w:hAnsi="Arial" w:cs="Arial"/>
                <w:color w:val="000000"/>
                <w:sz w:val="18"/>
                <w:szCs w:val="18"/>
              </w:rPr>
              <w:t xml:space="preserve">9 </w:t>
            </w:r>
          </w:p>
        </w:tc>
      </w:tr>
      <w:tr w:rsidR="008549B2" w:rsidRPr="00452CE7" w14:paraId="6E8F0F40" w14:textId="77777777" w:rsidTr="00E93819">
        <w:trPr>
          <w:trHeight w:val="284"/>
        </w:trPr>
        <w:tc>
          <w:tcPr>
            <w:tcW w:w="6736" w:type="dxa"/>
            <w:shd w:val="clear" w:color="auto" w:fill="FFFFFF" w:themeFill="background1"/>
            <w:vAlign w:val="center"/>
          </w:tcPr>
          <w:p w14:paraId="59E4F626" w14:textId="391C65A4" w:rsidR="008549B2" w:rsidRPr="00E93819" w:rsidRDefault="008549B2" w:rsidP="008549B2">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shd w:val="clear" w:color="auto" w:fill="FFFFFF" w:themeFill="background1"/>
            <w:vAlign w:val="center"/>
          </w:tcPr>
          <w:p w14:paraId="09AC8AE6" w14:textId="697DD2C4"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11</w:t>
            </w:r>
            <w:r w:rsidR="00482866">
              <w:rPr>
                <w:rFonts w:ascii="Arial" w:hAnsi="Arial" w:cs="Arial"/>
                <w:color w:val="000000"/>
                <w:sz w:val="18"/>
                <w:szCs w:val="18"/>
              </w:rPr>
              <w:t>,</w:t>
            </w:r>
            <w:r w:rsidRPr="00FF17B9">
              <w:rPr>
                <w:rFonts w:ascii="Arial" w:hAnsi="Arial" w:cs="Arial"/>
                <w:color w:val="000000"/>
                <w:sz w:val="18"/>
                <w:szCs w:val="18"/>
              </w:rPr>
              <w:t xml:space="preserve">2 </w:t>
            </w:r>
          </w:p>
        </w:tc>
        <w:tc>
          <w:tcPr>
            <w:tcW w:w="1911" w:type="dxa"/>
            <w:shd w:val="clear" w:color="auto" w:fill="FFFFFF" w:themeFill="background1"/>
            <w:vAlign w:val="center"/>
          </w:tcPr>
          <w:p w14:paraId="3B595E9A" w14:textId="277D82D4"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9</w:t>
            </w:r>
            <w:r w:rsidR="00482866">
              <w:rPr>
                <w:rFonts w:ascii="Arial" w:hAnsi="Arial" w:cs="Arial"/>
                <w:color w:val="000000"/>
                <w:sz w:val="18"/>
                <w:szCs w:val="18"/>
              </w:rPr>
              <w:t>,</w:t>
            </w:r>
            <w:r w:rsidRPr="00FF17B9">
              <w:rPr>
                <w:rFonts w:ascii="Arial" w:hAnsi="Arial" w:cs="Arial"/>
                <w:color w:val="000000"/>
                <w:sz w:val="18"/>
                <w:szCs w:val="18"/>
              </w:rPr>
              <w:t xml:space="preserve">0 </w:t>
            </w:r>
          </w:p>
        </w:tc>
      </w:tr>
      <w:tr w:rsidR="008549B2" w:rsidRPr="00452CE7" w14:paraId="5A5CA289" w14:textId="77777777" w:rsidTr="00E93819">
        <w:trPr>
          <w:trHeight w:val="284"/>
        </w:trPr>
        <w:tc>
          <w:tcPr>
            <w:tcW w:w="6736" w:type="dxa"/>
            <w:shd w:val="clear" w:color="auto" w:fill="FFFFFF" w:themeFill="background1"/>
            <w:vAlign w:val="center"/>
          </w:tcPr>
          <w:p w14:paraId="16D0260E" w14:textId="11740937" w:rsidR="008549B2" w:rsidRPr="00E93819" w:rsidRDefault="008549B2" w:rsidP="008549B2">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shd w:val="clear" w:color="auto" w:fill="FFFFFF" w:themeFill="background1"/>
            <w:vAlign w:val="center"/>
          </w:tcPr>
          <w:p w14:paraId="661AE43D" w14:textId="3FE6978E"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(551</w:t>
            </w:r>
            <w:r w:rsidR="00482866">
              <w:rPr>
                <w:rFonts w:ascii="Arial" w:hAnsi="Arial" w:cs="Arial"/>
                <w:color w:val="000000"/>
                <w:sz w:val="18"/>
                <w:szCs w:val="18"/>
              </w:rPr>
              <w:t>,</w:t>
            </w:r>
            <w:r w:rsidRPr="00FF17B9">
              <w:rPr>
                <w:rFonts w:ascii="Arial" w:hAnsi="Arial" w:cs="Arial"/>
                <w:color w:val="000000"/>
                <w:sz w:val="18"/>
                <w:szCs w:val="18"/>
              </w:rPr>
              <w:t>0)</w:t>
            </w:r>
          </w:p>
        </w:tc>
        <w:tc>
          <w:tcPr>
            <w:tcW w:w="1911" w:type="dxa"/>
            <w:shd w:val="clear" w:color="auto" w:fill="FFFFFF" w:themeFill="background1"/>
            <w:vAlign w:val="center"/>
          </w:tcPr>
          <w:p w14:paraId="30B2E735" w14:textId="1724F379"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color w:val="000000"/>
                <w:sz w:val="18"/>
                <w:szCs w:val="18"/>
              </w:rPr>
              <w:t>(549</w:t>
            </w:r>
            <w:r w:rsidR="00482866">
              <w:rPr>
                <w:rFonts w:ascii="Arial" w:hAnsi="Arial" w:cs="Arial"/>
                <w:color w:val="000000"/>
                <w:sz w:val="18"/>
                <w:szCs w:val="18"/>
              </w:rPr>
              <w:t>,</w:t>
            </w:r>
            <w:r w:rsidRPr="00FF17B9">
              <w:rPr>
                <w:rFonts w:ascii="Arial" w:hAnsi="Arial" w:cs="Arial"/>
                <w:color w:val="000000"/>
                <w:sz w:val="18"/>
                <w:szCs w:val="18"/>
              </w:rPr>
              <w:t>6)</w:t>
            </w:r>
          </w:p>
        </w:tc>
      </w:tr>
      <w:tr w:rsidR="008549B2" w:rsidRPr="00452CE7" w14:paraId="004D0CFD" w14:textId="77777777" w:rsidTr="00E93819">
        <w:trPr>
          <w:trHeight w:val="284"/>
        </w:trPr>
        <w:tc>
          <w:tcPr>
            <w:tcW w:w="6736" w:type="dxa"/>
            <w:shd w:val="clear" w:color="auto" w:fill="F2F2F2" w:themeFill="background1" w:themeFillShade="F2"/>
            <w:vAlign w:val="center"/>
          </w:tcPr>
          <w:p w14:paraId="0348B119" w14:textId="2B924525" w:rsidR="008549B2" w:rsidRPr="007E2F7E" w:rsidRDefault="008549B2" w:rsidP="008549B2">
            <w:pPr>
              <w:pStyle w:val="ColorfulList-Accent11"/>
              <w:tabs>
                <w:tab w:val="left" w:pos="0"/>
                <w:tab w:val="left" w:pos="284"/>
              </w:tabs>
              <w:ind w:left="0" w:right="-90"/>
              <w:rPr>
                <w:rFonts w:ascii="Arial" w:hAnsi="Arial" w:cs="Arial"/>
                <w:b/>
                <w:color w:val="000000" w:themeColor="text1"/>
                <w:sz w:val="18"/>
                <w:szCs w:val="18"/>
              </w:rPr>
            </w:pPr>
            <w:r w:rsidRPr="00A7639D">
              <w:rPr>
                <w:rFonts w:ascii="Arial" w:hAnsi="Arial" w:cs="Arial"/>
                <w:b/>
                <w:sz w:val="18"/>
                <w:szCs w:val="18"/>
              </w:rPr>
              <w:t>Καθαρός Δανεισμός</w:t>
            </w:r>
          </w:p>
        </w:tc>
        <w:tc>
          <w:tcPr>
            <w:tcW w:w="1911" w:type="dxa"/>
            <w:shd w:val="clear" w:color="auto" w:fill="F2F2F2" w:themeFill="background1" w:themeFillShade="F2"/>
            <w:vAlign w:val="center"/>
          </w:tcPr>
          <w:p w14:paraId="212D4842" w14:textId="4D944F3D"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b/>
                <w:bCs/>
                <w:color w:val="000000"/>
                <w:sz w:val="18"/>
                <w:szCs w:val="18"/>
              </w:rPr>
              <w:t>519</w:t>
            </w:r>
            <w:r w:rsidR="00482866">
              <w:rPr>
                <w:rFonts w:ascii="Arial" w:hAnsi="Arial" w:cs="Arial"/>
                <w:b/>
                <w:bCs/>
                <w:color w:val="000000"/>
                <w:sz w:val="18"/>
                <w:szCs w:val="18"/>
              </w:rPr>
              <w:t>,</w:t>
            </w:r>
            <w:r w:rsidRPr="00FF17B9">
              <w:rPr>
                <w:rFonts w:ascii="Arial" w:hAnsi="Arial" w:cs="Arial"/>
                <w:b/>
                <w:bCs/>
                <w:color w:val="000000"/>
                <w:sz w:val="18"/>
                <w:szCs w:val="18"/>
              </w:rPr>
              <w:t xml:space="preserve">1 </w:t>
            </w:r>
          </w:p>
        </w:tc>
        <w:tc>
          <w:tcPr>
            <w:tcW w:w="1911" w:type="dxa"/>
            <w:shd w:val="clear" w:color="auto" w:fill="F2F2F2" w:themeFill="background1" w:themeFillShade="F2"/>
            <w:vAlign w:val="center"/>
          </w:tcPr>
          <w:p w14:paraId="6139C525" w14:textId="11577E16" w:rsidR="008549B2" w:rsidRPr="004650B8" w:rsidRDefault="008549B2" w:rsidP="008549B2">
            <w:pPr>
              <w:pStyle w:val="ColorfulList-Accent11"/>
              <w:tabs>
                <w:tab w:val="left" w:pos="0"/>
                <w:tab w:val="left" w:pos="284"/>
              </w:tabs>
              <w:ind w:left="0" w:right="-90"/>
              <w:jc w:val="center"/>
              <w:rPr>
                <w:rFonts w:ascii="Arial" w:hAnsi="Arial" w:cs="Arial"/>
                <w:i/>
                <w:color w:val="FF0000"/>
                <w:sz w:val="18"/>
                <w:szCs w:val="18"/>
              </w:rPr>
            </w:pPr>
            <w:r w:rsidRPr="00FF17B9">
              <w:rPr>
                <w:rFonts w:ascii="Arial" w:hAnsi="Arial" w:cs="Arial"/>
                <w:b/>
                <w:bCs/>
                <w:color w:val="000000"/>
                <w:sz w:val="18"/>
                <w:szCs w:val="18"/>
              </w:rPr>
              <w:t>561</w:t>
            </w:r>
            <w:r w:rsidR="00482866">
              <w:rPr>
                <w:rFonts w:ascii="Arial" w:hAnsi="Arial" w:cs="Arial"/>
                <w:b/>
                <w:bCs/>
                <w:color w:val="000000"/>
                <w:sz w:val="18"/>
                <w:szCs w:val="18"/>
              </w:rPr>
              <w:t>,</w:t>
            </w:r>
            <w:r w:rsidRPr="00FF17B9">
              <w:rPr>
                <w:rFonts w:ascii="Arial" w:hAnsi="Arial" w:cs="Arial"/>
                <w:b/>
                <w:bCs/>
                <w:color w:val="000000"/>
                <w:sz w:val="18"/>
                <w:szCs w:val="18"/>
              </w:rPr>
              <w:t xml:space="preserve">7 </w:t>
            </w:r>
          </w:p>
        </w:tc>
      </w:tr>
    </w:tbl>
    <w:p w14:paraId="0E467534"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312129A5" w14:textId="77777777" w:rsidR="00E026B6" w:rsidRPr="00E026B6" w:rsidRDefault="00004A74" w:rsidP="00E026B6">
      <w:pPr>
        <w:pStyle w:val="ListParagraph"/>
        <w:tabs>
          <w:tab w:val="left" w:pos="0"/>
        </w:tabs>
        <w:ind w:left="0"/>
        <w:jc w:val="both"/>
        <w:rPr>
          <w:rFonts w:ascii="Arial" w:hAnsi="Arial" w:cs="Arial"/>
          <w:b/>
          <w:color w:val="004B87"/>
          <w:sz w:val="22"/>
          <w:szCs w:val="22"/>
        </w:rPr>
      </w:pPr>
      <w:r w:rsidRPr="00E026B6">
        <w:rPr>
          <w:rFonts w:ascii="Arial" w:hAnsi="Arial" w:cs="Arial"/>
          <w:b/>
          <w:color w:val="004B87"/>
          <w:sz w:val="22"/>
          <w:szCs w:val="22"/>
        </w:rPr>
        <w:t>EBIT</w:t>
      </w:r>
    </w:p>
    <w:p w14:paraId="31860334" w14:textId="35F2728C" w:rsidR="007D3E42" w:rsidRPr="00787EE2" w:rsidRDefault="00305A1A" w:rsidP="00E026B6">
      <w:pPr>
        <w:jc w:val="both"/>
        <w:rPr>
          <w:rFonts w:ascii="Arial" w:hAnsi="Arial" w:cs="Arial"/>
        </w:rPr>
      </w:pPr>
      <w:r w:rsidRPr="00E026B6">
        <w:rPr>
          <w:rFonts w:ascii="Arial" w:eastAsia="Times New Roman" w:hAnsi="Arial" w:cs="Arial"/>
        </w:rPr>
        <w:t>Τα Κέρδη προ τόκων και φόρων (</w:t>
      </w:r>
      <w:r w:rsidRPr="00E026B6">
        <w:rPr>
          <w:rFonts w:ascii="Arial" w:eastAsia="Times New Roman" w:hAnsi="Arial" w:cs="Arial"/>
          <w:lang w:val="en-US"/>
        </w:rPr>
        <w:t>EBIT</w:t>
      </w:r>
      <w:r w:rsidRPr="00E026B6">
        <w:rPr>
          <w:rFonts w:ascii="Arial" w:eastAsia="Times New Roman" w:hAnsi="Arial" w:cs="Arial"/>
        </w:rPr>
        <w:t>) προκύπτουν απευθείας από τις χρηματοοικονομικές καταστάσεις του Ομίλου, γραμμή «</w:t>
      </w:r>
      <w:r w:rsidR="00787EE2" w:rsidRPr="00E026B6">
        <w:rPr>
          <w:rFonts w:ascii="Arial" w:eastAsia="Times New Roman" w:hAnsi="Arial" w:cs="Arial"/>
        </w:rPr>
        <w:t>Λειτουργικά κέρδη προ χρηματοοικονομικών και επενδυτικών δραστηριοτήτων</w:t>
      </w:r>
      <w:r w:rsidRPr="00E026B6">
        <w:rPr>
          <w:rFonts w:ascii="Arial" w:eastAsia="Times New Roman" w:hAnsi="Arial" w:cs="Arial"/>
        </w:rPr>
        <w:t>» της κατάστασης Αποτελεσμάτων.</w:t>
      </w:r>
      <w:r w:rsidR="00787EE2" w:rsidRPr="00E026B6">
        <w:rPr>
          <w:rFonts w:ascii="Arial" w:eastAsia="Times New Roman" w:hAnsi="Arial" w:cs="Arial"/>
        </w:rPr>
        <w:t xml:space="preserve"> </w:t>
      </w:r>
      <w:r w:rsidR="00787EE2" w:rsidRPr="001D7A36">
        <w:rPr>
          <w:rFonts w:ascii="Arial" w:eastAsia="Times New Roman" w:hAnsi="Arial" w:cs="Arial"/>
        </w:rPr>
        <w:t xml:space="preserve">Ο δείκτης </w:t>
      </w:r>
      <w:r w:rsidR="00787EE2" w:rsidRPr="00E026B6">
        <w:rPr>
          <w:rFonts w:ascii="Arial" w:eastAsia="Times New Roman" w:hAnsi="Arial" w:cs="Arial"/>
          <w:lang w:val="en-US"/>
        </w:rPr>
        <w:t>EBIT</w:t>
      </w:r>
      <w:r w:rsidR="00787EE2" w:rsidRPr="001D7A36">
        <w:rPr>
          <w:rFonts w:ascii="Arial" w:eastAsia="Times New Roman" w:hAnsi="Arial" w:cs="Arial"/>
        </w:rPr>
        <w:t xml:space="preserve"> παρέχει χρήσιμη πληροφόρηση για την ανάλυση της λειτουργικής απόδοσης του Ομίλου</w:t>
      </w:r>
      <w:r w:rsidR="00787EE2" w:rsidRPr="00787EE2">
        <w:rPr>
          <w:rFonts w:ascii="Arial" w:hAnsi="Arial" w:cs="Arial"/>
        </w:rPr>
        <w:t>.</w:t>
      </w:r>
    </w:p>
    <w:p w14:paraId="0FBDBA23"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1EA3BD71" w14:textId="7D35B069"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4C7B8A">
        <w:rPr>
          <w:rFonts w:ascii="Arial" w:hAnsi="Arial" w:cs="Arial"/>
          <w:b/>
          <w:color w:val="004B87"/>
          <w:sz w:val="22"/>
          <w:szCs w:val="22"/>
          <w:lang w:val="el-GR"/>
        </w:rPr>
        <w:t>)</w:t>
      </w:r>
    </w:p>
    <w:p w14:paraId="0AA766BB"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Ο δείκτης </w:t>
      </w:r>
      <w:r w:rsidRPr="00E026B6">
        <w:rPr>
          <w:rFonts w:ascii="Arial" w:hAnsi="Arial" w:cs="Arial"/>
          <w:b/>
          <w:bCs/>
          <w:sz w:val="22"/>
          <w:szCs w:val="22"/>
        </w:rPr>
        <w:t>EBITDA</w:t>
      </w:r>
      <w:r w:rsidRPr="001D7A36">
        <w:rPr>
          <w:rFonts w:ascii="Arial" w:hAnsi="Arial" w:cs="Arial"/>
          <w:sz w:val="22"/>
          <w:szCs w:val="22"/>
          <w:lang w:val="el-GR"/>
        </w:rPr>
        <w:t xml:space="preserve">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απομειώσεων» της Κατάστασης Αποτελεσμάτων. Ο δείκτης </w:t>
      </w:r>
      <w:r w:rsidRPr="00E026B6">
        <w:rPr>
          <w:rFonts w:ascii="Arial" w:hAnsi="Arial" w:cs="Arial"/>
          <w:sz w:val="22"/>
          <w:szCs w:val="22"/>
        </w:rPr>
        <w:t>EBITDA</w:t>
      </w:r>
      <w:r w:rsidRPr="001D7A36">
        <w:rPr>
          <w:rFonts w:ascii="Arial" w:hAnsi="Arial" w:cs="Arial"/>
          <w:sz w:val="22"/>
          <w:szCs w:val="22"/>
          <w:lang w:val="el-GR"/>
        </w:rPr>
        <w:t xml:space="preserve"> ορίζεται ως το σύνολο του κύκλου εργασιών συν τα λοιπά λειτουργικά έσοδα μείον το σύνολο των λειτουργικών εξόδων πριν από αποσβέσεις και απομειώσεις. Ο δείκτης </w:t>
      </w:r>
      <w:r w:rsidRPr="00E026B6">
        <w:rPr>
          <w:rFonts w:ascii="Arial" w:hAnsi="Arial" w:cs="Arial"/>
          <w:sz w:val="22"/>
          <w:szCs w:val="22"/>
        </w:rPr>
        <w:t>EBITDA</w:t>
      </w:r>
      <w:r w:rsidRPr="001D7A36">
        <w:rPr>
          <w:rFonts w:ascii="Arial" w:hAnsi="Arial" w:cs="Arial"/>
          <w:sz w:val="22"/>
          <w:szCs w:val="22"/>
          <w:lang w:val="el-GR"/>
        </w:rPr>
        <w:t xml:space="preserve"> εξυπηρετεί στην καλύτερη ανάλυση των λειτουργικών αποτελεσμάτων του Ομίλου.</w:t>
      </w:r>
    </w:p>
    <w:p w14:paraId="531CBCC5" w14:textId="64363938"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Το </w:t>
      </w: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sz w:val="22"/>
          <w:szCs w:val="22"/>
          <w:lang w:val="el-GR"/>
        </w:rPr>
        <w:t xml:space="preserve"> υπολογίζεται εξαιρώντας την επίδραση από τα κόστη σχετιζόμενα με προγράμματα εθελ</w:t>
      </w:r>
      <w:bookmarkStart w:id="9" w:name="_Hlt127543518"/>
      <w:bookmarkStart w:id="10" w:name="_Hlt127543519"/>
      <w:r w:rsidRPr="001D7A36">
        <w:rPr>
          <w:rFonts w:ascii="Arial" w:hAnsi="Arial" w:cs="Arial"/>
          <w:sz w:val="22"/>
          <w:szCs w:val="22"/>
          <w:lang w:val="el-GR"/>
        </w:rPr>
        <w:t>ο</w:t>
      </w:r>
      <w:bookmarkEnd w:id="9"/>
      <w:bookmarkEnd w:id="10"/>
      <w:r w:rsidRPr="001D7A36">
        <w:rPr>
          <w:rFonts w:ascii="Arial" w:hAnsi="Arial" w:cs="Arial"/>
          <w:sz w:val="22"/>
          <w:szCs w:val="22"/>
          <w:lang w:val="el-GR"/>
        </w:rPr>
        <w:t>ύσιας αποχώρησης</w:t>
      </w:r>
      <w:r w:rsidR="00162BAC">
        <w:rPr>
          <w:rFonts w:ascii="Arial" w:hAnsi="Arial" w:cs="Arial"/>
          <w:sz w:val="22"/>
          <w:szCs w:val="22"/>
          <w:lang w:val="el-GR"/>
        </w:rPr>
        <w:t xml:space="preserve"> και </w:t>
      </w:r>
      <w:r w:rsidRPr="001D7A36">
        <w:rPr>
          <w:rFonts w:ascii="Arial" w:hAnsi="Arial" w:cs="Arial"/>
          <w:sz w:val="22"/>
          <w:szCs w:val="22"/>
          <w:lang w:val="el-GR"/>
        </w:rPr>
        <w:t>λοιπά έξοδα αναδιοργάνωσης</w:t>
      </w:r>
      <w:r w:rsidR="00B75283" w:rsidRPr="00B75283">
        <w:rPr>
          <w:rFonts w:ascii="Arial" w:hAnsi="Arial" w:cs="Arial"/>
          <w:sz w:val="22"/>
          <w:szCs w:val="22"/>
          <w:lang w:val="el-GR"/>
        </w:rPr>
        <w:t>.</w:t>
      </w:r>
    </w:p>
    <w:p w14:paraId="1082AB2F"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b/>
          <w:bCs/>
          <w:sz w:val="22"/>
          <w:szCs w:val="22"/>
          <w:lang w:val="el-GR"/>
        </w:rPr>
        <w:t xml:space="preserve"> μετά από μισθώσεις (</w:t>
      </w:r>
      <w:r w:rsidRPr="00E026B6">
        <w:rPr>
          <w:rFonts w:ascii="Arial" w:hAnsi="Arial" w:cs="Arial"/>
          <w:b/>
          <w:bCs/>
          <w:sz w:val="22"/>
          <w:szCs w:val="22"/>
        </w:rPr>
        <w:t>AL</w:t>
      </w:r>
      <w:r w:rsidRPr="001D7A36">
        <w:rPr>
          <w:rFonts w:ascii="Arial" w:hAnsi="Arial" w:cs="Arial"/>
          <w:b/>
          <w:bCs/>
          <w:sz w:val="22"/>
          <w:szCs w:val="22"/>
          <w:lang w:val="el-GR"/>
        </w:rPr>
        <w:t>):</w:t>
      </w:r>
      <w:r w:rsidRPr="001D7A36">
        <w:rPr>
          <w:rFonts w:ascii="Arial" w:hAnsi="Arial" w:cs="Arial"/>
          <w:sz w:val="22"/>
          <w:szCs w:val="22"/>
          <w:lang w:val="el-GR"/>
        </w:rPr>
        <w:t xml:space="preserve"> </w:t>
      </w:r>
      <w:r w:rsidRPr="00E026B6">
        <w:rPr>
          <w:rFonts w:ascii="Arial" w:hAnsi="Arial" w:cs="Arial"/>
          <w:sz w:val="22"/>
          <w:szCs w:val="22"/>
        </w:rPr>
        <w:t>M</w:t>
      </w:r>
      <w:r w:rsidRPr="001D7A36">
        <w:rPr>
          <w:rFonts w:ascii="Arial" w:hAnsi="Arial" w:cs="Arial"/>
          <w:sz w:val="22"/>
          <w:szCs w:val="22"/>
          <w:lang w:val="el-GR"/>
        </w:rPr>
        <w:t xml:space="preserve">ετά την εφαρμογή του ΔΠΧΑ 16 σχετικά με τις μισθώσεις, είναι κοινή πρακτική του κλάδου η χρήση του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ή του Προσαρμοσμένου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προκειμένου να διευκολυνθεί η σύγκριση μεταξύ των εταιρειών της αγοράς τηλεπικοινωνιών καθώς και η σύγκριση με τα ιστορικά στοιχεία. Το Προσαρμοσμένο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ορίζεται ως το Προσαρμοσμένο </w:t>
      </w:r>
      <w:r w:rsidRPr="00E026B6">
        <w:rPr>
          <w:rFonts w:ascii="Arial" w:hAnsi="Arial" w:cs="Arial"/>
          <w:sz w:val="22"/>
          <w:szCs w:val="22"/>
        </w:rPr>
        <w:t>EBITDA</w:t>
      </w:r>
      <w:r w:rsidRPr="001D7A36">
        <w:rPr>
          <w:rFonts w:ascii="Arial" w:hAnsi="Arial" w:cs="Arial"/>
          <w:sz w:val="22"/>
          <w:szCs w:val="22"/>
          <w:lang w:val="el-GR"/>
        </w:rPr>
        <w:t xml:space="preserve"> αφαιρώντας τις αποσβέσεις και τους τόκους που σχετίζονται με μισθώσεις. </w:t>
      </w:r>
    </w:p>
    <w:p w14:paraId="7FEDE6D6" w14:textId="58CB6E3C" w:rsidR="00A32CE2" w:rsidRDefault="009E285A" w:rsidP="00E026B6">
      <w:pPr>
        <w:spacing w:after="0" w:line="240" w:lineRule="auto"/>
        <w:jc w:val="both"/>
        <w:rPr>
          <w:rFonts w:ascii="Arial" w:eastAsia="Times New Roman" w:hAnsi="Arial" w:cs="Arial"/>
        </w:rPr>
      </w:pPr>
      <w:r w:rsidRPr="00E026B6">
        <w:rPr>
          <w:rFonts w:ascii="Arial" w:eastAsia="Times New Roman" w:hAnsi="Arial" w:cs="Arial"/>
        </w:rPr>
        <w:t xml:space="preserve">Τα περιθώρια </w:t>
      </w:r>
      <w:r w:rsidRPr="00E026B6">
        <w:rPr>
          <w:rFonts w:ascii="Arial" w:eastAsia="Times New Roman" w:hAnsi="Arial" w:cs="Arial"/>
          <w:lang w:val="en-US"/>
        </w:rPr>
        <w:t>EBITDA</w:t>
      </w:r>
      <w:r w:rsidRPr="00E026B6">
        <w:rPr>
          <w:rFonts w:ascii="Arial" w:eastAsia="Times New Roman" w:hAnsi="Arial" w:cs="Arial"/>
        </w:rPr>
        <w:t xml:space="preserve">, Προσαρμοσμένο </w:t>
      </w:r>
      <w:r w:rsidRPr="00E026B6">
        <w:rPr>
          <w:rFonts w:ascii="Arial" w:eastAsia="Times New Roman" w:hAnsi="Arial" w:cs="Arial"/>
          <w:lang w:val="en-US"/>
        </w:rPr>
        <w:t>EBITDA</w:t>
      </w:r>
      <w:r w:rsidRPr="00E026B6">
        <w:rPr>
          <w:rFonts w:ascii="Arial" w:eastAsia="Times New Roman" w:hAnsi="Arial" w:cs="Arial"/>
        </w:rPr>
        <w:t xml:space="preserve"> και Προσαρμοσμένο </w:t>
      </w:r>
      <w:r w:rsidRPr="00E026B6">
        <w:rPr>
          <w:rFonts w:ascii="Arial" w:eastAsia="Times New Roman" w:hAnsi="Arial" w:cs="Arial"/>
          <w:lang w:val="en-US"/>
        </w:rPr>
        <w:t>EBITDA</w:t>
      </w:r>
      <w:r w:rsidRPr="00E026B6">
        <w:rPr>
          <w:rFonts w:ascii="Arial" w:eastAsia="Times New Roman" w:hAnsi="Arial" w:cs="Arial"/>
        </w:rPr>
        <w:t xml:space="preserve"> μετά από μισθώσεις (</w:t>
      </w:r>
      <w:r w:rsidRPr="00E026B6">
        <w:rPr>
          <w:rFonts w:ascii="Arial" w:eastAsia="Times New Roman" w:hAnsi="Arial" w:cs="Arial"/>
          <w:lang w:val="en-US"/>
        </w:rPr>
        <w:t>AL</w:t>
      </w:r>
      <w:r w:rsidRPr="00E026B6">
        <w:rPr>
          <w:rFonts w:ascii="Arial" w:eastAsia="Times New Roman" w:hAnsi="Arial" w:cs="Arial"/>
        </w:rPr>
        <w:t xml:space="preserve">) (%) υπολογίζονται διαιρώντας τα αντίστοιχα </w:t>
      </w:r>
      <w:r w:rsidRPr="00E026B6">
        <w:rPr>
          <w:rFonts w:ascii="Arial" w:eastAsia="Times New Roman" w:hAnsi="Arial" w:cs="Arial"/>
          <w:lang w:val="en-US"/>
        </w:rPr>
        <w:t>EBITDA</w:t>
      </w:r>
      <w:r w:rsidRPr="00E026B6">
        <w:rPr>
          <w:rFonts w:ascii="Arial" w:eastAsia="Times New Roman" w:hAnsi="Arial" w:cs="Arial"/>
        </w:rPr>
        <w:t xml:space="preserve"> με το σύνολο του κύκλου εργασιών. </w:t>
      </w:r>
    </w:p>
    <w:p w14:paraId="55BDD01B" w14:textId="40AFAB82" w:rsidR="00386EA0" w:rsidRPr="00FB20CB" w:rsidRDefault="00386EA0" w:rsidP="00BC2A75">
      <w:pPr>
        <w:pStyle w:val="Caption"/>
        <w:keepNext/>
        <w:rPr>
          <w:rFonts w:cs="Arial"/>
          <w:lang w:val="el-GR"/>
        </w:rPr>
      </w:pPr>
    </w:p>
    <w:tbl>
      <w:tblPr>
        <w:tblStyle w:val="TableGrid"/>
        <w:tblW w:w="10206"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794"/>
        <w:gridCol w:w="2206"/>
        <w:gridCol w:w="2206"/>
      </w:tblGrid>
      <w:tr w:rsidR="004650B8" w14:paraId="1BE20998" w14:textId="77777777" w:rsidTr="007077AF">
        <w:trPr>
          <w:trHeight w:val="411"/>
          <w:tblHeader/>
        </w:trPr>
        <w:tc>
          <w:tcPr>
            <w:tcW w:w="5794"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95DCBDF" w14:textId="7B0BBC83" w:rsidR="004650B8" w:rsidRPr="00FB20CB" w:rsidRDefault="004650B8" w:rsidP="001F1F41">
            <w:pPr>
              <w:rPr>
                <w:rFonts w:ascii="Arial" w:hAnsi="Arial" w:cs="Arial"/>
                <w:szCs w:val="22"/>
                <w:lang w:eastAsia="el-GR"/>
              </w:rPr>
            </w:pPr>
            <w:bookmarkStart w:id="11" w:name="_Hlk125459013"/>
            <w:r w:rsidRPr="00A7639D">
              <w:rPr>
                <w:rFonts w:ascii="Arial" w:hAnsi="Arial" w:cs="Arial"/>
                <w:b/>
                <w:sz w:val="18"/>
                <w:szCs w:val="18"/>
              </w:rPr>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2206"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E630A85" w14:textId="6C3FE489" w:rsidR="004650B8" w:rsidRPr="004650B8" w:rsidRDefault="004650B8" w:rsidP="001F1F41">
            <w:pPr>
              <w:jc w:val="right"/>
              <w:rPr>
                <w:rFonts w:ascii="Arial" w:hAnsi="Arial" w:cs="Arial"/>
                <w:b/>
                <w:color w:val="000000"/>
                <w:szCs w:val="22"/>
                <w:lang w:val="el-GR" w:eastAsia="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6</w:t>
            </w:r>
          </w:p>
        </w:tc>
        <w:tc>
          <w:tcPr>
            <w:tcW w:w="2206" w:type="dxa"/>
            <w:tcBorders>
              <w:top w:val="single" w:sz="2" w:space="0" w:color="BFBFBF" w:themeColor="background1" w:themeShade="BF"/>
              <w:bottom w:val="single" w:sz="2" w:space="0" w:color="BFBFBF" w:themeColor="background1" w:themeShade="BF"/>
              <w:right w:val="nil"/>
            </w:tcBorders>
            <w:vAlign w:val="center"/>
          </w:tcPr>
          <w:p w14:paraId="4897685B" w14:textId="2A38A840" w:rsidR="004650B8" w:rsidRPr="004650B8" w:rsidRDefault="004650B8" w:rsidP="001F1F41">
            <w:pPr>
              <w:jc w:val="right"/>
              <w:rPr>
                <w:rFonts w:ascii="Arial" w:hAnsi="Arial" w:cs="Arial"/>
                <w:b/>
                <w:color w:val="000000"/>
                <w:szCs w:val="22"/>
                <w:lang w:val="el-GR" w:eastAsia="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5</w:t>
            </w:r>
          </w:p>
        </w:tc>
      </w:tr>
      <w:tr w:rsidR="00683EBF" w14:paraId="3B467EF4" w14:textId="77777777" w:rsidTr="007077AF">
        <w:trPr>
          <w:trHeight w:val="257"/>
        </w:trPr>
        <w:tc>
          <w:tcPr>
            <w:tcW w:w="5794" w:type="dxa"/>
            <w:tcBorders>
              <w:top w:val="single" w:sz="2" w:space="0" w:color="BFBFBF" w:themeColor="background1" w:themeShade="BF"/>
              <w:bottom w:val="nil"/>
              <w:right w:val="single" w:sz="2" w:space="0" w:color="BFBFBF" w:themeColor="background1" w:themeShade="BF"/>
            </w:tcBorders>
            <w:shd w:val="clear" w:color="auto" w:fill="F2F2F2" w:themeFill="background1" w:themeFillShade="F2"/>
            <w:vAlign w:val="center"/>
          </w:tcPr>
          <w:p w14:paraId="4996C05E" w14:textId="023CCABC" w:rsidR="00683EBF" w:rsidRPr="00FB20CB" w:rsidRDefault="00683EBF" w:rsidP="00683EBF">
            <w:pPr>
              <w:rPr>
                <w:rFonts w:ascii="Arial" w:hAnsi="Arial" w:cs="Arial"/>
                <w:szCs w:val="22"/>
                <w:lang w:eastAsia="el-GR"/>
              </w:rPr>
            </w:pPr>
            <w:r>
              <w:rPr>
                <w:rFonts w:ascii="Arial" w:hAnsi="Arial" w:cs="Arial"/>
                <w:b/>
                <w:bCs/>
                <w:sz w:val="18"/>
                <w:szCs w:val="18"/>
                <w:lang w:val="el-GR"/>
              </w:rPr>
              <w:t>Σύνολο κύκλου εργασιών</w:t>
            </w:r>
          </w:p>
        </w:tc>
        <w:tc>
          <w:tcPr>
            <w:tcW w:w="2206" w:type="dxa"/>
            <w:tcBorders>
              <w:top w:val="single" w:sz="2" w:space="0" w:color="BFBFBF" w:themeColor="background1" w:themeShade="BF"/>
              <w:left w:val="single" w:sz="2" w:space="0" w:color="BFBFBF" w:themeColor="background1" w:themeShade="BF"/>
              <w:bottom w:val="nil"/>
            </w:tcBorders>
            <w:shd w:val="clear" w:color="auto" w:fill="F2F2F2" w:themeFill="background1" w:themeFillShade="F2"/>
            <w:vAlign w:val="center"/>
          </w:tcPr>
          <w:p w14:paraId="375EC02C" w14:textId="2BB8F409" w:rsidR="00683EBF" w:rsidRPr="004650B8" w:rsidRDefault="00683EBF" w:rsidP="00683EBF">
            <w:pPr>
              <w:jc w:val="right"/>
              <w:rPr>
                <w:rFonts w:ascii="Arial" w:hAnsi="Arial" w:cs="Arial"/>
                <w:color w:val="FF0000"/>
                <w:szCs w:val="22"/>
                <w:lang w:val="el-GR" w:eastAsia="el-GR"/>
              </w:rPr>
            </w:pPr>
            <w:r w:rsidRPr="00FF17B9">
              <w:rPr>
                <w:rFonts w:ascii="Arial" w:hAnsi="Arial" w:cs="Arial"/>
                <w:color w:val="000000"/>
                <w:sz w:val="18"/>
                <w:szCs w:val="18"/>
              </w:rPr>
              <w:t>859</w:t>
            </w:r>
            <w:r w:rsidR="00F32DD9">
              <w:rPr>
                <w:rFonts w:ascii="Arial" w:hAnsi="Arial" w:cs="Arial"/>
                <w:color w:val="000000"/>
                <w:sz w:val="18"/>
                <w:szCs w:val="18"/>
              </w:rPr>
              <w:t>,</w:t>
            </w:r>
            <w:r w:rsidRPr="00FF17B9">
              <w:rPr>
                <w:rFonts w:ascii="Arial" w:hAnsi="Arial" w:cs="Arial"/>
                <w:color w:val="000000"/>
                <w:sz w:val="18"/>
                <w:szCs w:val="18"/>
              </w:rPr>
              <w:t>4</w:t>
            </w:r>
          </w:p>
        </w:tc>
        <w:tc>
          <w:tcPr>
            <w:tcW w:w="2206" w:type="dxa"/>
            <w:tcBorders>
              <w:top w:val="single" w:sz="2" w:space="0" w:color="BFBFBF" w:themeColor="background1" w:themeShade="BF"/>
              <w:bottom w:val="nil"/>
              <w:right w:val="nil"/>
            </w:tcBorders>
            <w:shd w:val="clear" w:color="auto" w:fill="F2F2F2" w:themeFill="background1" w:themeFillShade="F2"/>
            <w:vAlign w:val="center"/>
          </w:tcPr>
          <w:p w14:paraId="48FF32A6" w14:textId="74725E02" w:rsidR="00683EBF" w:rsidRPr="004650B8" w:rsidRDefault="00683EBF" w:rsidP="00683EBF">
            <w:pPr>
              <w:jc w:val="right"/>
              <w:rPr>
                <w:rFonts w:ascii="Arial" w:hAnsi="Arial" w:cs="Arial"/>
                <w:color w:val="FF0000"/>
                <w:szCs w:val="22"/>
                <w:lang w:val="el-GR" w:eastAsia="el-GR"/>
              </w:rPr>
            </w:pPr>
            <w:r w:rsidRPr="00FF17B9">
              <w:rPr>
                <w:rFonts w:ascii="Arial" w:hAnsi="Arial" w:cs="Arial"/>
                <w:color w:val="000000"/>
                <w:sz w:val="18"/>
                <w:szCs w:val="18"/>
              </w:rPr>
              <w:t>818</w:t>
            </w:r>
            <w:r w:rsidR="00F32DD9">
              <w:rPr>
                <w:rFonts w:ascii="Arial" w:hAnsi="Arial" w:cs="Arial"/>
                <w:color w:val="000000"/>
                <w:sz w:val="18"/>
                <w:szCs w:val="18"/>
              </w:rPr>
              <w:t>,</w:t>
            </w:r>
            <w:r w:rsidRPr="00FF17B9">
              <w:rPr>
                <w:rFonts w:ascii="Arial" w:hAnsi="Arial" w:cs="Arial"/>
                <w:color w:val="000000"/>
                <w:sz w:val="18"/>
                <w:szCs w:val="18"/>
              </w:rPr>
              <w:t>9</w:t>
            </w:r>
          </w:p>
        </w:tc>
      </w:tr>
      <w:tr w:rsidR="00683EBF" w14:paraId="46126C63" w14:textId="77777777" w:rsidTr="007077AF">
        <w:trPr>
          <w:trHeight w:val="257"/>
        </w:trPr>
        <w:tc>
          <w:tcPr>
            <w:tcW w:w="5794" w:type="dxa"/>
            <w:tcBorders>
              <w:top w:val="nil"/>
              <w:right w:val="single" w:sz="2" w:space="0" w:color="BFBFBF" w:themeColor="background1" w:themeShade="BF"/>
            </w:tcBorders>
            <w:vAlign w:val="center"/>
          </w:tcPr>
          <w:p w14:paraId="1A812D86" w14:textId="3C4CC43F" w:rsidR="00683EBF" w:rsidRPr="00FB20CB" w:rsidRDefault="00683EBF" w:rsidP="00683EBF">
            <w:pPr>
              <w:rPr>
                <w:rFonts w:ascii="Arial" w:hAnsi="Arial" w:cs="Arial"/>
                <w:color w:val="000000"/>
                <w:szCs w:val="22"/>
                <w:lang w:val="el-GR" w:eastAsia="el-GR"/>
              </w:rPr>
            </w:pPr>
            <w:r w:rsidRPr="00583090">
              <w:rPr>
                <w:rFonts w:ascii="Arial" w:hAnsi="Arial" w:cs="Arial"/>
                <w:iCs/>
                <w:sz w:val="18"/>
                <w:szCs w:val="18"/>
                <w:lang w:val="el-GR"/>
              </w:rPr>
              <w:t>Λοιπά λειτουργικά έσοδα</w:t>
            </w:r>
          </w:p>
        </w:tc>
        <w:tc>
          <w:tcPr>
            <w:tcW w:w="2206" w:type="dxa"/>
            <w:tcBorders>
              <w:top w:val="nil"/>
              <w:left w:val="single" w:sz="2" w:space="0" w:color="BFBFBF" w:themeColor="background1" w:themeShade="BF"/>
            </w:tcBorders>
            <w:vAlign w:val="center"/>
          </w:tcPr>
          <w:p w14:paraId="68BC256D" w14:textId="66CCAE39" w:rsidR="00683EBF" w:rsidRPr="004650B8" w:rsidRDefault="00683EBF" w:rsidP="00683EBF">
            <w:pPr>
              <w:jc w:val="right"/>
              <w:rPr>
                <w:rFonts w:ascii="Arial" w:hAnsi="Arial" w:cs="Arial"/>
                <w:color w:val="FF0000"/>
                <w:szCs w:val="22"/>
                <w:lang w:val="el-GR" w:eastAsia="el-GR"/>
              </w:rPr>
            </w:pPr>
            <w:r w:rsidRPr="00FF17B9">
              <w:rPr>
                <w:rFonts w:ascii="Arial" w:hAnsi="Arial" w:cs="Arial"/>
                <w:color w:val="000000"/>
                <w:sz w:val="18"/>
                <w:szCs w:val="18"/>
              </w:rPr>
              <w:t>2</w:t>
            </w:r>
            <w:r w:rsidR="00F32DD9">
              <w:rPr>
                <w:rFonts w:ascii="Arial" w:hAnsi="Arial" w:cs="Arial"/>
                <w:color w:val="000000"/>
                <w:sz w:val="18"/>
                <w:szCs w:val="18"/>
              </w:rPr>
              <w:t>,</w:t>
            </w:r>
            <w:r w:rsidRPr="00FF17B9">
              <w:rPr>
                <w:rFonts w:ascii="Arial" w:hAnsi="Arial" w:cs="Arial"/>
                <w:color w:val="000000"/>
                <w:sz w:val="18"/>
                <w:szCs w:val="18"/>
              </w:rPr>
              <w:t>8</w:t>
            </w:r>
          </w:p>
        </w:tc>
        <w:tc>
          <w:tcPr>
            <w:tcW w:w="2206" w:type="dxa"/>
            <w:tcBorders>
              <w:top w:val="nil"/>
              <w:right w:val="nil"/>
            </w:tcBorders>
            <w:vAlign w:val="center"/>
          </w:tcPr>
          <w:p w14:paraId="14F4A5D6" w14:textId="48AF6791" w:rsidR="00683EBF" w:rsidRPr="004650B8" w:rsidRDefault="00683EBF" w:rsidP="00683EBF">
            <w:pPr>
              <w:jc w:val="right"/>
              <w:rPr>
                <w:rFonts w:ascii="Arial" w:hAnsi="Arial" w:cs="Arial"/>
                <w:color w:val="FF0000"/>
                <w:szCs w:val="22"/>
                <w:lang w:val="el-GR" w:eastAsia="el-GR"/>
              </w:rPr>
            </w:pPr>
            <w:r w:rsidRPr="00FF17B9">
              <w:rPr>
                <w:rFonts w:ascii="Arial" w:hAnsi="Arial" w:cs="Arial"/>
                <w:color w:val="000000"/>
                <w:sz w:val="18"/>
                <w:szCs w:val="18"/>
              </w:rPr>
              <w:t>1</w:t>
            </w:r>
            <w:r w:rsidR="00F32DD9">
              <w:rPr>
                <w:rFonts w:ascii="Arial" w:hAnsi="Arial" w:cs="Arial"/>
                <w:color w:val="000000"/>
                <w:sz w:val="18"/>
                <w:szCs w:val="18"/>
              </w:rPr>
              <w:t>,</w:t>
            </w:r>
            <w:r w:rsidRPr="00FF17B9">
              <w:rPr>
                <w:rFonts w:ascii="Arial" w:hAnsi="Arial" w:cs="Arial"/>
                <w:color w:val="000000"/>
                <w:sz w:val="18"/>
                <w:szCs w:val="18"/>
              </w:rPr>
              <w:t>3</w:t>
            </w:r>
          </w:p>
        </w:tc>
      </w:tr>
      <w:tr w:rsidR="00683EBF" w14:paraId="6774AD97" w14:textId="77777777" w:rsidTr="007077AF">
        <w:trPr>
          <w:trHeight w:val="257"/>
        </w:trPr>
        <w:tc>
          <w:tcPr>
            <w:tcW w:w="5794" w:type="dxa"/>
            <w:tcBorders>
              <w:bottom w:val="nil"/>
              <w:right w:val="single" w:sz="2" w:space="0" w:color="BFBFBF" w:themeColor="background1" w:themeShade="BF"/>
            </w:tcBorders>
            <w:vAlign w:val="center"/>
          </w:tcPr>
          <w:p w14:paraId="4BD4ECB4" w14:textId="7EF01D00" w:rsidR="00683EBF" w:rsidRPr="00FB20CB" w:rsidRDefault="00683EBF" w:rsidP="00683EBF">
            <w:pPr>
              <w:rPr>
                <w:rFonts w:ascii="Arial" w:hAnsi="Arial" w:cs="Arial"/>
                <w:color w:val="000000"/>
                <w:szCs w:val="22"/>
                <w:lang w:val="el-GR" w:eastAsia="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2206" w:type="dxa"/>
            <w:tcBorders>
              <w:left w:val="single" w:sz="2" w:space="0" w:color="BFBFBF" w:themeColor="background1" w:themeShade="BF"/>
              <w:bottom w:val="nil"/>
            </w:tcBorders>
            <w:vAlign w:val="center"/>
          </w:tcPr>
          <w:p w14:paraId="42898DF5" w14:textId="0456C684" w:rsidR="00683EBF" w:rsidRPr="004650B8" w:rsidRDefault="00683EBF" w:rsidP="00683EBF">
            <w:pPr>
              <w:jc w:val="right"/>
              <w:rPr>
                <w:rFonts w:ascii="Arial" w:hAnsi="Arial" w:cs="Arial"/>
                <w:color w:val="FF0000"/>
                <w:szCs w:val="22"/>
                <w:lang w:eastAsia="el-GR"/>
              </w:rPr>
            </w:pPr>
            <w:r w:rsidRPr="00FF17B9">
              <w:rPr>
                <w:rFonts w:ascii="Arial" w:hAnsi="Arial" w:cs="Arial"/>
                <w:color w:val="000000"/>
                <w:sz w:val="18"/>
                <w:szCs w:val="18"/>
              </w:rPr>
              <w:t>(528</w:t>
            </w:r>
            <w:r w:rsidR="00F32DD9">
              <w:rPr>
                <w:rFonts w:ascii="Arial" w:hAnsi="Arial" w:cs="Arial"/>
                <w:color w:val="000000"/>
                <w:sz w:val="18"/>
                <w:szCs w:val="18"/>
              </w:rPr>
              <w:t>,</w:t>
            </w:r>
            <w:r w:rsidRPr="00FF17B9">
              <w:rPr>
                <w:rFonts w:ascii="Arial" w:hAnsi="Arial" w:cs="Arial"/>
                <w:color w:val="000000"/>
                <w:sz w:val="18"/>
                <w:szCs w:val="18"/>
              </w:rPr>
              <w:t>7)</w:t>
            </w:r>
          </w:p>
        </w:tc>
        <w:tc>
          <w:tcPr>
            <w:tcW w:w="2206" w:type="dxa"/>
            <w:tcBorders>
              <w:bottom w:val="nil"/>
              <w:right w:val="nil"/>
            </w:tcBorders>
            <w:vAlign w:val="center"/>
          </w:tcPr>
          <w:p w14:paraId="3217BE4E" w14:textId="784AEBD9" w:rsidR="00683EBF" w:rsidRPr="004650B8" w:rsidRDefault="00683EBF" w:rsidP="00683EBF">
            <w:pPr>
              <w:jc w:val="right"/>
              <w:rPr>
                <w:rFonts w:ascii="Arial" w:hAnsi="Arial" w:cs="Arial"/>
                <w:color w:val="FF0000"/>
                <w:szCs w:val="22"/>
                <w:lang w:eastAsia="el-GR"/>
              </w:rPr>
            </w:pPr>
            <w:r w:rsidRPr="00FF17B9">
              <w:rPr>
                <w:rFonts w:ascii="Arial" w:hAnsi="Arial" w:cs="Arial"/>
                <w:color w:val="000000"/>
                <w:sz w:val="18"/>
                <w:szCs w:val="18"/>
              </w:rPr>
              <w:t>(489</w:t>
            </w:r>
            <w:r w:rsidR="00F32DD9">
              <w:rPr>
                <w:rFonts w:ascii="Arial" w:hAnsi="Arial" w:cs="Arial"/>
                <w:color w:val="000000"/>
                <w:sz w:val="18"/>
                <w:szCs w:val="18"/>
              </w:rPr>
              <w:t>,</w:t>
            </w:r>
            <w:r w:rsidRPr="00FF17B9">
              <w:rPr>
                <w:rFonts w:ascii="Arial" w:hAnsi="Arial" w:cs="Arial"/>
                <w:color w:val="000000"/>
                <w:sz w:val="18"/>
                <w:szCs w:val="18"/>
              </w:rPr>
              <w:t>9)</w:t>
            </w:r>
          </w:p>
        </w:tc>
      </w:tr>
      <w:tr w:rsidR="00683EBF" w14:paraId="16141E5E" w14:textId="77777777" w:rsidTr="007077AF">
        <w:trPr>
          <w:trHeight w:val="257"/>
        </w:trPr>
        <w:tc>
          <w:tcPr>
            <w:tcW w:w="5794" w:type="dxa"/>
            <w:tcBorders>
              <w:top w:val="nil"/>
              <w:bottom w:val="nil"/>
              <w:right w:val="single" w:sz="2" w:space="0" w:color="BFBFBF" w:themeColor="background1" w:themeShade="BF"/>
            </w:tcBorders>
            <w:shd w:val="clear" w:color="auto" w:fill="F2F2F2" w:themeFill="background1" w:themeFillShade="F2"/>
            <w:vAlign w:val="center"/>
          </w:tcPr>
          <w:p w14:paraId="02347138" w14:textId="77777777" w:rsidR="00683EBF" w:rsidRPr="00FB20CB" w:rsidRDefault="00683EBF" w:rsidP="00683EBF">
            <w:pPr>
              <w:rPr>
                <w:rFonts w:ascii="Arial" w:hAnsi="Arial" w:cs="Arial"/>
                <w:color w:val="000000"/>
                <w:szCs w:val="22"/>
                <w:lang w:val="el-GR" w:eastAsia="el-GR"/>
              </w:rPr>
            </w:pPr>
            <w:r w:rsidRPr="001865E9">
              <w:rPr>
                <w:rFonts w:ascii="Arial" w:hAnsi="Arial" w:cs="Arial"/>
                <w:b/>
                <w:sz w:val="18"/>
                <w:szCs w:val="18"/>
              </w:rPr>
              <w:t>EBITDA</w:t>
            </w:r>
          </w:p>
        </w:tc>
        <w:tc>
          <w:tcPr>
            <w:tcW w:w="2206" w:type="dxa"/>
            <w:tcBorders>
              <w:top w:val="nil"/>
              <w:left w:val="single" w:sz="2" w:space="0" w:color="BFBFBF" w:themeColor="background1" w:themeShade="BF"/>
              <w:bottom w:val="nil"/>
            </w:tcBorders>
            <w:shd w:val="clear" w:color="auto" w:fill="F2F2F2" w:themeFill="background1" w:themeFillShade="F2"/>
            <w:vAlign w:val="center"/>
          </w:tcPr>
          <w:p w14:paraId="30E83262" w14:textId="5348235C" w:rsidR="00683EBF" w:rsidRPr="004650B8" w:rsidRDefault="00683EBF" w:rsidP="00683EBF">
            <w:pPr>
              <w:jc w:val="right"/>
              <w:rPr>
                <w:rFonts w:ascii="Arial" w:hAnsi="Arial" w:cs="Arial"/>
                <w:color w:val="FF0000"/>
                <w:szCs w:val="22"/>
                <w:lang w:val="el-GR" w:eastAsia="el-GR"/>
              </w:rPr>
            </w:pPr>
            <w:r w:rsidRPr="00FF17B9">
              <w:rPr>
                <w:rFonts w:ascii="Arial" w:hAnsi="Arial" w:cs="Arial"/>
                <w:b/>
                <w:bCs/>
                <w:color w:val="000000"/>
                <w:sz w:val="18"/>
                <w:szCs w:val="18"/>
              </w:rPr>
              <w:t>333</w:t>
            </w:r>
            <w:r w:rsidR="00F32DD9">
              <w:rPr>
                <w:rFonts w:ascii="Arial" w:hAnsi="Arial" w:cs="Arial"/>
                <w:b/>
                <w:bCs/>
                <w:color w:val="000000"/>
                <w:sz w:val="18"/>
                <w:szCs w:val="18"/>
              </w:rPr>
              <w:t>,</w:t>
            </w:r>
            <w:r w:rsidRPr="00FF17B9">
              <w:rPr>
                <w:rFonts w:ascii="Arial" w:hAnsi="Arial" w:cs="Arial"/>
                <w:b/>
                <w:bCs/>
                <w:color w:val="000000"/>
                <w:sz w:val="18"/>
                <w:szCs w:val="18"/>
              </w:rPr>
              <w:t>5</w:t>
            </w:r>
          </w:p>
        </w:tc>
        <w:tc>
          <w:tcPr>
            <w:tcW w:w="2206" w:type="dxa"/>
            <w:tcBorders>
              <w:top w:val="nil"/>
              <w:bottom w:val="nil"/>
              <w:right w:val="nil"/>
            </w:tcBorders>
            <w:shd w:val="clear" w:color="auto" w:fill="F2F2F2" w:themeFill="background1" w:themeFillShade="F2"/>
            <w:vAlign w:val="center"/>
          </w:tcPr>
          <w:p w14:paraId="56E1A68E" w14:textId="29DB14BD" w:rsidR="00683EBF" w:rsidRPr="004650B8" w:rsidRDefault="00683EBF" w:rsidP="00683EBF">
            <w:pPr>
              <w:jc w:val="right"/>
              <w:rPr>
                <w:rFonts w:ascii="Arial" w:hAnsi="Arial" w:cs="Arial"/>
                <w:color w:val="FF0000"/>
                <w:szCs w:val="22"/>
                <w:lang w:val="el-GR" w:eastAsia="el-GR"/>
              </w:rPr>
            </w:pPr>
            <w:r w:rsidRPr="00FF17B9">
              <w:rPr>
                <w:rFonts w:ascii="Arial" w:hAnsi="Arial" w:cs="Arial"/>
                <w:b/>
                <w:bCs/>
                <w:color w:val="000000"/>
                <w:sz w:val="18"/>
                <w:szCs w:val="18"/>
              </w:rPr>
              <w:t>330</w:t>
            </w:r>
            <w:r w:rsidR="00F32DD9">
              <w:rPr>
                <w:rFonts w:ascii="Arial" w:hAnsi="Arial" w:cs="Arial"/>
                <w:b/>
                <w:bCs/>
                <w:color w:val="000000"/>
                <w:sz w:val="18"/>
                <w:szCs w:val="18"/>
              </w:rPr>
              <w:t>,</w:t>
            </w:r>
            <w:r w:rsidRPr="00FF17B9">
              <w:rPr>
                <w:rFonts w:ascii="Arial" w:hAnsi="Arial" w:cs="Arial"/>
                <w:b/>
                <w:bCs/>
                <w:color w:val="000000"/>
                <w:sz w:val="18"/>
                <w:szCs w:val="18"/>
              </w:rPr>
              <w:t>3</w:t>
            </w:r>
          </w:p>
        </w:tc>
      </w:tr>
      <w:tr w:rsidR="00683EBF" w14:paraId="33A5B550" w14:textId="77777777" w:rsidTr="007077AF">
        <w:trPr>
          <w:trHeight w:val="257"/>
        </w:trPr>
        <w:tc>
          <w:tcPr>
            <w:tcW w:w="5794" w:type="dxa"/>
            <w:tcBorders>
              <w:top w:val="nil"/>
              <w:right w:val="single" w:sz="2" w:space="0" w:color="BFBFBF" w:themeColor="background1" w:themeShade="BF"/>
            </w:tcBorders>
            <w:vAlign w:val="center"/>
          </w:tcPr>
          <w:p w14:paraId="1CDDBFBC" w14:textId="3CB1E488" w:rsidR="00683EBF" w:rsidRPr="00FB20CB" w:rsidRDefault="00683EBF" w:rsidP="00683EBF">
            <w:pPr>
              <w:rPr>
                <w:rFonts w:ascii="Arial" w:hAnsi="Arial" w:cs="Arial"/>
                <w:color w:val="000000"/>
                <w:szCs w:val="22"/>
                <w:lang w:val="el-GR" w:eastAsia="el-GR"/>
              </w:rPr>
            </w:pPr>
            <w:r w:rsidRPr="00A7639D">
              <w:rPr>
                <w:rFonts w:ascii="Arial" w:hAnsi="Arial" w:cs="Arial"/>
                <w:sz w:val="18"/>
                <w:szCs w:val="18"/>
                <w:lang w:val="el-GR"/>
              </w:rPr>
              <w:t>Κόστη σχετιζόμενα με προγράμματα εθελούσιας αποχώρησης</w:t>
            </w:r>
          </w:p>
        </w:tc>
        <w:tc>
          <w:tcPr>
            <w:tcW w:w="2206" w:type="dxa"/>
            <w:tcBorders>
              <w:top w:val="nil"/>
              <w:left w:val="single" w:sz="2" w:space="0" w:color="BFBFBF" w:themeColor="background1" w:themeShade="BF"/>
            </w:tcBorders>
            <w:vAlign w:val="center"/>
          </w:tcPr>
          <w:p w14:paraId="021162FF" w14:textId="19F10C5E" w:rsidR="00683EBF" w:rsidRPr="004650B8" w:rsidRDefault="00683EBF" w:rsidP="00683EBF">
            <w:pPr>
              <w:jc w:val="right"/>
              <w:rPr>
                <w:rFonts w:ascii="Arial" w:hAnsi="Arial" w:cs="Arial"/>
                <w:color w:val="FF0000"/>
                <w:szCs w:val="22"/>
                <w:lang w:eastAsia="el-GR"/>
              </w:rPr>
            </w:pPr>
            <w:r w:rsidRPr="00FF17B9">
              <w:rPr>
                <w:rFonts w:ascii="Arial" w:hAnsi="Arial" w:cs="Arial"/>
                <w:color w:val="000000"/>
                <w:sz w:val="18"/>
                <w:szCs w:val="18"/>
              </w:rPr>
              <w:t>19</w:t>
            </w:r>
            <w:r w:rsidR="00F32DD9">
              <w:rPr>
                <w:rFonts w:ascii="Arial" w:hAnsi="Arial" w:cs="Arial"/>
                <w:color w:val="000000"/>
                <w:sz w:val="18"/>
                <w:szCs w:val="18"/>
              </w:rPr>
              <w:t>,</w:t>
            </w:r>
            <w:r w:rsidRPr="00FF17B9">
              <w:rPr>
                <w:rFonts w:ascii="Arial" w:hAnsi="Arial" w:cs="Arial"/>
                <w:color w:val="000000"/>
                <w:sz w:val="18"/>
                <w:szCs w:val="18"/>
              </w:rPr>
              <w:t>2</w:t>
            </w:r>
          </w:p>
        </w:tc>
        <w:tc>
          <w:tcPr>
            <w:tcW w:w="2206" w:type="dxa"/>
            <w:tcBorders>
              <w:top w:val="nil"/>
              <w:right w:val="nil"/>
            </w:tcBorders>
            <w:vAlign w:val="center"/>
          </w:tcPr>
          <w:p w14:paraId="700F7FFD" w14:textId="382A21E6" w:rsidR="00683EBF" w:rsidRPr="004650B8" w:rsidRDefault="00683EBF" w:rsidP="00683EBF">
            <w:pPr>
              <w:jc w:val="right"/>
              <w:rPr>
                <w:rFonts w:ascii="Arial" w:hAnsi="Arial" w:cs="Arial"/>
                <w:color w:val="FF0000"/>
                <w:szCs w:val="22"/>
                <w:lang w:eastAsia="el-GR"/>
              </w:rPr>
            </w:pPr>
            <w:r w:rsidRPr="00FF17B9">
              <w:rPr>
                <w:rFonts w:ascii="Arial" w:hAnsi="Arial" w:cs="Arial"/>
                <w:color w:val="000000"/>
                <w:sz w:val="18"/>
                <w:szCs w:val="18"/>
              </w:rPr>
              <w:t>12</w:t>
            </w:r>
            <w:r w:rsidR="00F32DD9">
              <w:rPr>
                <w:rFonts w:ascii="Arial" w:hAnsi="Arial" w:cs="Arial"/>
                <w:color w:val="000000"/>
                <w:sz w:val="18"/>
                <w:szCs w:val="18"/>
              </w:rPr>
              <w:t>,</w:t>
            </w:r>
            <w:r w:rsidRPr="00FF17B9">
              <w:rPr>
                <w:rFonts w:ascii="Arial" w:hAnsi="Arial" w:cs="Arial"/>
                <w:color w:val="000000"/>
                <w:sz w:val="18"/>
                <w:szCs w:val="18"/>
              </w:rPr>
              <w:t>8</w:t>
            </w:r>
          </w:p>
        </w:tc>
      </w:tr>
      <w:tr w:rsidR="00683EBF" w14:paraId="2A53E03B" w14:textId="77777777" w:rsidTr="007077AF">
        <w:trPr>
          <w:trHeight w:val="257"/>
        </w:trPr>
        <w:tc>
          <w:tcPr>
            <w:tcW w:w="5794" w:type="dxa"/>
            <w:tcBorders>
              <w:bottom w:val="nil"/>
              <w:right w:val="single" w:sz="2" w:space="0" w:color="BFBFBF" w:themeColor="background1" w:themeShade="BF"/>
            </w:tcBorders>
            <w:vAlign w:val="center"/>
          </w:tcPr>
          <w:p w14:paraId="77298C82" w14:textId="7A755D63" w:rsidR="00683EBF" w:rsidRPr="00FB20CB" w:rsidRDefault="00683EBF" w:rsidP="00683EBF">
            <w:pPr>
              <w:rPr>
                <w:rFonts w:ascii="Arial" w:hAnsi="Arial" w:cs="Arial"/>
                <w:color w:val="000000"/>
                <w:szCs w:val="22"/>
                <w:lang w:val="el-GR" w:eastAsia="el-GR"/>
              </w:rPr>
            </w:pPr>
            <w:r>
              <w:rPr>
                <w:rFonts w:ascii="Arial" w:hAnsi="Arial" w:cs="Arial"/>
                <w:sz w:val="18"/>
                <w:szCs w:val="18"/>
                <w:lang w:val="el-GR"/>
              </w:rPr>
              <w:t>Λοιπά έ</w:t>
            </w:r>
            <w:r w:rsidRPr="00A7639D">
              <w:rPr>
                <w:rFonts w:ascii="Arial" w:hAnsi="Arial" w:cs="Arial"/>
                <w:sz w:val="18"/>
                <w:szCs w:val="18"/>
              </w:rPr>
              <w:t>ξοδα αναδιοργάνωσης</w:t>
            </w:r>
          </w:p>
        </w:tc>
        <w:tc>
          <w:tcPr>
            <w:tcW w:w="2206" w:type="dxa"/>
            <w:tcBorders>
              <w:left w:val="single" w:sz="2" w:space="0" w:color="BFBFBF" w:themeColor="background1" w:themeShade="BF"/>
              <w:bottom w:val="nil"/>
            </w:tcBorders>
            <w:vAlign w:val="center"/>
          </w:tcPr>
          <w:p w14:paraId="10005E40" w14:textId="51B821E6" w:rsidR="00683EBF" w:rsidRPr="004650B8" w:rsidRDefault="00683EBF" w:rsidP="00683EBF">
            <w:pPr>
              <w:jc w:val="right"/>
              <w:rPr>
                <w:rFonts w:ascii="Arial" w:hAnsi="Arial" w:cs="Arial"/>
                <w:color w:val="FF0000"/>
                <w:szCs w:val="22"/>
                <w:lang w:val="el-GR" w:eastAsia="el-GR"/>
              </w:rPr>
            </w:pPr>
            <w:r>
              <w:rPr>
                <w:rFonts w:ascii="Arial" w:hAnsi="Arial" w:cs="Arial"/>
                <w:color w:val="000000"/>
                <w:sz w:val="18"/>
                <w:szCs w:val="18"/>
              </w:rPr>
              <w:t>0</w:t>
            </w:r>
            <w:r w:rsidR="00F32DD9">
              <w:rPr>
                <w:rFonts w:ascii="Arial" w:hAnsi="Arial" w:cs="Arial"/>
                <w:color w:val="000000"/>
                <w:sz w:val="18"/>
                <w:szCs w:val="18"/>
              </w:rPr>
              <w:t>,</w:t>
            </w:r>
            <w:r>
              <w:rPr>
                <w:rFonts w:ascii="Arial" w:hAnsi="Arial" w:cs="Arial"/>
                <w:color w:val="000000"/>
                <w:sz w:val="18"/>
                <w:szCs w:val="18"/>
              </w:rPr>
              <w:t>5</w:t>
            </w:r>
          </w:p>
        </w:tc>
        <w:tc>
          <w:tcPr>
            <w:tcW w:w="2206" w:type="dxa"/>
            <w:tcBorders>
              <w:bottom w:val="nil"/>
              <w:right w:val="nil"/>
            </w:tcBorders>
            <w:vAlign w:val="center"/>
          </w:tcPr>
          <w:p w14:paraId="792C7D03" w14:textId="3D5AA6AB" w:rsidR="00683EBF" w:rsidRPr="004650B8" w:rsidRDefault="00683EBF" w:rsidP="00683EBF">
            <w:pPr>
              <w:jc w:val="right"/>
              <w:rPr>
                <w:rFonts w:ascii="Arial" w:hAnsi="Arial" w:cs="Arial"/>
                <w:color w:val="FF0000"/>
                <w:szCs w:val="22"/>
                <w:lang w:val="el-GR" w:eastAsia="el-GR"/>
              </w:rPr>
            </w:pPr>
            <w:r>
              <w:rPr>
                <w:rFonts w:ascii="Arial" w:hAnsi="Arial" w:cs="Arial"/>
                <w:color w:val="000000"/>
                <w:sz w:val="18"/>
                <w:szCs w:val="18"/>
              </w:rPr>
              <w:t>0</w:t>
            </w:r>
            <w:r w:rsidR="00F32DD9">
              <w:rPr>
                <w:rFonts w:ascii="Arial" w:hAnsi="Arial" w:cs="Arial"/>
                <w:color w:val="000000"/>
                <w:sz w:val="18"/>
                <w:szCs w:val="18"/>
              </w:rPr>
              <w:t>,</w:t>
            </w:r>
            <w:r>
              <w:rPr>
                <w:rFonts w:ascii="Arial" w:hAnsi="Arial" w:cs="Arial"/>
                <w:color w:val="000000"/>
                <w:sz w:val="18"/>
                <w:szCs w:val="18"/>
              </w:rPr>
              <w:t>6</w:t>
            </w:r>
          </w:p>
        </w:tc>
      </w:tr>
      <w:tr w:rsidR="00683EBF" w14:paraId="2DA54D0A" w14:textId="77777777" w:rsidTr="007077AF">
        <w:trPr>
          <w:trHeight w:val="257"/>
        </w:trPr>
        <w:tc>
          <w:tcPr>
            <w:tcW w:w="5794" w:type="dxa"/>
            <w:tcBorders>
              <w:top w:val="nil"/>
              <w:bottom w:val="nil"/>
              <w:right w:val="single" w:sz="2" w:space="0" w:color="BFBFBF" w:themeColor="background1" w:themeShade="BF"/>
            </w:tcBorders>
            <w:shd w:val="clear" w:color="auto" w:fill="F2F2F2" w:themeFill="background1" w:themeFillShade="F2"/>
            <w:vAlign w:val="center"/>
          </w:tcPr>
          <w:p w14:paraId="743935EE" w14:textId="20C6226E" w:rsidR="00683EBF" w:rsidRPr="00FB20CB" w:rsidRDefault="00683EBF" w:rsidP="00683EBF">
            <w:pPr>
              <w:rPr>
                <w:rFonts w:ascii="Arial" w:hAnsi="Arial" w:cs="Arial"/>
                <w:color w:val="000000"/>
                <w:szCs w:val="22"/>
                <w:lang w:val="el-GR" w:eastAsia="el-GR"/>
              </w:rPr>
            </w:pPr>
            <w:r>
              <w:rPr>
                <w:rFonts w:ascii="Arial" w:hAnsi="Arial" w:cs="Arial"/>
                <w:b/>
                <w:bCs/>
                <w:sz w:val="18"/>
                <w:szCs w:val="18"/>
                <w:lang w:val="el-GR"/>
              </w:rPr>
              <w:t>Προσαρμοσμένο</w:t>
            </w:r>
            <w:r w:rsidRPr="00810E77">
              <w:rPr>
                <w:rFonts w:ascii="Arial" w:hAnsi="Arial" w:cs="Arial"/>
                <w:b/>
                <w:bCs/>
                <w:sz w:val="18"/>
                <w:szCs w:val="18"/>
              </w:rPr>
              <w:t xml:space="preserve"> </w:t>
            </w:r>
            <w:r w:rsidRPr="001865E9">
              <w:rPr>
                <w:rFonts w:ascii="Arial" w:hAnsi="Arial" w:cs="Arial"/>
                <w:b/>
                <w:sz w:val="18"/>
                <w:szCs w:val="18"/>
              </w:rPr>
              <w:t>EBITDA</w:t>
            </w:r>
          </w:p>
        </w:tc>
        <w:tc>
          <w:tcPr>
            <w:tcW w:w="2206" w:type="dxa"/>
            <w:tcBorders>
              <w:top w:val="nil"/>
              <w:left w:val="single" w:sz="2" w:space="0" w:color="BFBFBF" w:themeColor="background1" w:themeShade="BF"/>
              <w:bottom w:val="nil"/>
            </w:tcBorders>
            <w:shd w:val="clear" w:color="auto" w:fill="F2F2F2" w:themeFill="background1" w:themeFillShade="F2"/>
            <w:vAlign w:val="center"/>
          </w:tcPr>
          <w:p w14:paraId="51D6D496" w14:textId="22D0238A" w:rsidR="00683EBF" w:rsidRPr="004650B8" w:rsidRDefault="00683EBF" w:rsidP="00683EBF">
            <w:pPr>
              <w:jc w:val="right"/>
              <w:rPr>
                <w:rFonts w:ascii="Arial" w:hAnsi="Arial" w:cs="Arial"/>
                <w:color w:val="FF0000"/>
                <w:szCs w:val="22"/>
                <w:lang w:val="el-GR" w:eastAsia="el-GR"/>
              </w:rPr>
            </w:pPr>
            <w:r>
              <w:rPr>
                <w:rFonts w:ascii="Arial" w:hAnsi="Arial" w:cs="Arial"/>
                <w:b/>
                <w:bCs/>
                <w:color w:val="000000"/>
                <w:sz w:val="18"/>
                <w:szCs w:val="18"/>
              </w:rPr>
              <w:t>353</w:t>
            </w:r>
            <w:r w:rsidR="00F32DD9">
              <w:rPr>
                <w:rFonts w:ascii="Arial" w:hAnsi="Arial" w:cs="Arial"/>
                <w:b/>
                <w:bCs/>
                <w:color w:val="000000"/>
                <w:sz w:val="18"/>
                <w:szCs w:val="18"/>
              </w:rPr>
              <w:t>,</w:t>
            </w:r>
            <w:r>
              <w:rPr>
                <w:rFonts w:ascii="Arial" w:hAnsi="Arial" w:cs="Arial"/>
                <w:b/>
                <w:bCs/>
                <w:color w:val="000000"/>
                <w:sz w:val="18"/>
                <w:szCs w:val="18"/>
              </w:rPr>
              <w:t>2</w:t>
            </w:r>
          </w:p>
        </w:tc>
        <w:tc>
          <w:tcPr>
            <w:tcW w:w="2206" w:type="dxa"/>
            <w:tcBorders>
              <w:top w:val="nil"/>
              <w:bottom w:val="nil"/>
              <w:right w:val="nil"/>
            </w:tcBorders>
            <w:shd w:val="clear" w:color="auto" w:fill="F2F2F2" w:themeFill="background1" w:themeFillShade="F2"/>
            <w:vAlign w:val="center"/>
          </w:tcPr>
          <w:p w14:paraId="39A65256" w14:textId="08A1D6B1" w:rsidR="00683EBF" w:rsidRPr="004650B8" w:rsidRDefault="00683EBF" w:rsidP="00683EBF">
            <w:pPr>
              <w:jc w:val="right"/>
              <w:rPr>
                <w:rFonts w:ascii="Arial" w:hAnsi="Arial" w:cs="Arial"/>
                <w:color w:val="FF0000"/>
                <w:szCs w:val="22"/>
                <w:lang w:val="el-GR" w:eastAsia="el-GR"/>
              </w:rPr>
            </w:pPr>
            <w:r>
              <w:rPr>
                <w:rFonts w:ascii="Arial" w:hAnsi="Arial" w:cs="Arial"/>
                <w:b/>
                <w:bCs/>
                <w:color w:val="000000"/>
                <w:sz w:val="18"/>
                <w:szCs w:val="18"/>
              </w:rPr>
              <w:t>343</w:t>
            </w:r>
            <w:r w:rsidR="00F32DD9">
              <w:rPr>
                <w:rFonts w:ascii="Arial" w:hAnsi="Arial" w:cs="Arial"/>
                <w:b/>
                <w:bCs/>
                <w:color w:val="000000"/>
                <w:sz w:val="18"/>
                <w:szCs w:val="18"/>
              </w:rPr>
              <w:t>,</w:t>
            </w:r>
            <w:r>
              <w:rPr>
                <w:rFonts w:ascii="Arial" w:hAnsi="Arial" w:cs="Arial"/>
                <w:b/>
                <w:bCs/>
                <w:color w:val="000000"/>
                <w:sz w:val="18"/>
                <w:szCs w:val="18"/>
              </w:rPr>
              <w:t>7</w:t>
            </w:r>
          </w:p>
        </w:tc>
      </w:tr>
      <w:tr w:rsidR="00683EBF" w14:paraId="4F634E94" w14:textId="77777777" w:rsidTr="007077AF">
        <w:trPr>
          <w:trHeight w:val="257"/>
        </w:trPr>
        <w:tc>
          <w:tcPr>
            <w:tcW w:w="5794" w:type="dxa"/>
            <w:tcBorders>
              <w:top w:val="nil"/>
              <w:right w:val="single" w:sz="2" w:space="0" w:color="BFBFBF" w:themeColor="background1" w:themeShade="BF"/>
            </w:tcBorders>
            <w:vAlign w:val="center"/>
          </w:tcPr>
          <w:p w14:paraId="39895193" w14:textId="6816785C" w:rsidR="00683EBF" w:rsidRPr="00FB20CB" w:rsidRDefault="00683EBF" w:rsidP="00683EBF">
            <w:pPr>
              <w:rPr>
                <w:rFonts w:ascii="Arial" w:hAnsi="Arial" w:cs="Arial"/>
                <w:color w:val="000000"/>
                <w:szCs w:val="22"/>
                <w:lang w:val="el-GR" w:eastAsia="el-GR"/>
              </w:rPr>
            </w:pPr>
            <w:r w:rsidRPr="00F82DE5">
              <w:rPr>
                <w:rFonts w:ascii="Arial" w:hAnsi="Arial" w:cs="Arial"/>
                <w:sz w:val="18"/>
                <w:szCs w:val="18"/>
                <w:lang w:val="el-GR"/>
              </w:rPr>
              <w:t>Αποσβέσεις περιουσιακών στοιχείων με δικαίωμα χρήσης</w:t>
            </w:r>
          </w:p>
        </w:tc>
        <w:tc>
          <w:tcPr>
            <w:tcW w:w="2206" w:type="dxa"/>
            <w:tcBorders>
              <w:top w:val="nil"/>
              <w:left w:val="single" w:sz="2" w:space="0" w:color="BFBFBF" w:themeColor="background1" w:themeShade="BF"/>
            </w:tcBorders>
            <w:vAlign w:val="center"/>
          </w:tcPr>
          <w:p w14:paraId="640B562F" w14:textId="34FB3578" w:rsidR="00683EBF" w:rsidRPr="004650B8" w:rsidRDefault="00683EBF" w:rsidP="00683EBF">
            <w:pPr>
              <w:jc w:val="right"/>
              <w:rPr>
                <w:rFonts w:ascii="Arial" w:hAnsi="Arial" w:cs="Arial"/>
                <w:color w:val="FF0000"/>
                <w:szCs w:val="22"/>
                <w:lang w:eastAsia="el-GR"/>
              </w:rPr>
            </w:pPr>
            <w:r w:rsidRPr="00ED12A7">
              <w:rPr>
                <w:rFonts w:ascii="Arial" w:hAnsi="Arial" w:cs="Arial"/>
                <w:color w:val="000000"/>
                <w:sz w:val="18"/>
                <w:szCs w:val="18"/>
              </w:rPr>
              <w:t>(12</w:t>
            </w:r>
            <w:r w:rsidR="00F32DD9">
              <w:rPr>
                <w:rFonts w:ascii="Arial" w:hAnsi="Arial" w:cs="Arial"/>
                <w:color w:val="000000"/>
                <w:sz w:val="18"/>
                <w:szCs w:val="18"/>
              </w:rPr>
              <w:t>,</w:t>
            </w:r>
            <w:r>
              <w:rPr>
                <w:rFonts w:ascii="Arial" w:hAnsi="Arial" w:cs="Arial"/>
                <w:color w:val="000000"/>
                <w:sz w:val="18"/>
                <w:szCs w:val="18"/>
              </w:rPr>
              <w:t>9</w:t>
            </w:r>
            <w:r w:rsidRPr="00ED12A7">
              <w:rPr>
                <w:rFonts w:ascii="Arial" w:hAnsi="Arial" w:cs="Arial"/>
                <w:color w:val="000000"/>
                <w:sz w:val="18"/>
                <w:szCs w:val="18"/>
              </w:rPr>
              <w:t>)</w:t>
            </w:r>
          </w:p>
        </w:tc>
        <w:tc>
          <w:tcPr>
            <w:tcW w:w="2206" w:type="dxa"/>
            <w:tcBorders>
              <w:top w:val="nil"/>
              <w:right w:val="nil"/>
            </w:tcBorders>
            <w:vAlign w:val="center"/>
          </w:tcPr>
          <w:p w14:paraId="21F6247D" w14:textId="21750735" w:rsidR="00683EBF" w:rsidRPr="004650B8" w:rsidRDefault="00683EBF" w:rsidP="00683EBF">
            <w:pPr>
              <w:jc w:val="right"/>
              <w:rPr>
                <w:rFonts w:ascii="Arial" w:hAnsi="Arial" w:cs="Arial"/>
                <w:color w:val="FF0000"/>
                <w:szCs w:val="22"/>
                <w:lang w:eastAsia="el-GR"/>
              </w:rPr>
            </w:pPr>
            <w:r w:rsidRPr="00ED12A7">
              <w:rPr>
                <w:rFonts w:ascii="Arial" w:hAnsi="Arial" w:cs="Arial"/>
                <w:color w:val="000000"/>
                <w:sz w:val="18"/>
                <w:szCs w:val="18"/>
              </w:rPr>
              <w:t>(12</w:t>
            </w:r>
            <w:r w:rsidR="00F32DD9">
              <w:rPr>
                <w:rFonts w:ascii="Arial" w:hAnsi="Arial" w:cs="Arial"/>
                <w:color w:val="000000"/>
                <w:sz w:val="18"/>
                <w:szCs w:val="18"/>
              </w:rPr>
              <w:t>,</w:t>
            </w:r>
            <w:r>
              <w:rPr>
                <w:rFonts w:ascii="Arial" w:hAnsi="Arial" w:cs="Arial"/>
                <w:color w:val="000000"/>
                <w:sz w:val="18"/>
                <w:szCs w:val="18"/>
              </w:rPr>
              <w:t>7</w:t>
            </w:r>
            <w:r w:rsidRPr="00ED12A7">
              <w:rPr>
                <w:rFonts w:ascii="Arial" w:hAnsi="Arial" w:cs="Arial"/>
                <w:color w:val="000000"/>
                <w:sz w:val="18"/>
                <w:szCs w:val="18"/>
              </w:rPr>
              <w:t>)</w:t>
            </w:r>
          </w:p>
        </w:tc>
      </w:tr>
      <w:tr w:rsidR="00683EBF" w14:paraId="1C3A0F87" w14:textId="77777777" w:rsidTr="007077AF">
        <w:trPr>
          <w:trHeight w:val="257"/>
        </w:trPr>
        <w:tc>
          <w:tcPr>
            <w:tcW w:w="5794" w:type="dxa"/>
            <w:tcBorders>
              <w:bottom w:val="nil"/>
              <w:right w:val="single" w:sz="2" w:space="0" w:color="BFBFBF" w:themeColor="background1" w:themeShade="BF"/>
            </w:tcBorders>
            <w:vAlign w:val="center"/>
          </w:tcPr>
          <w:p w14:paraId="2FCA603A" w14:textId="0172832F" w:rsidR="00683EBF" w:rsidRPr="00FB20CB" w:rsidRDefault="00683EBF" w:rsidP="00683EBF">
            <w:pPr>
              <w:rPr>
                <w:rFonts w:ascii="Arial" w:hAnsi="Arial" w:cs="Arial"/>
                <w:color w:val="000000"/>
                <w:szCs w:val="22"/>
                <w:lang w:val="el-GR" w:eastAsia="el-GR"/>
              </w:rPr>
            </w:pPr>
            <w:r w:rsidRPr="00A7639D">
              <w:rPr>
                <w:rFonts w:ascii="Arial" w:hAnsi="Arial" w:cs="Arial"/>
                <w:sz w:val="18"/>
                <w:szCs w:val="18"/>
                <w:lang w:val="el-GR"/>
              </w:rPr>
              <w:t>Τόκοι επί των υποχρεώσεων από μισθώσεις</w:t>
            </w:r>
          </w:p>
        </w:tc>
        <w:tc>
          <w:tcPr>
            <w:tcW w:w="2206" w:type="dxa"/>
            <w:tcBorders>
              <w:left w:val="single" w:sz="2" w:space="0" w:color="BFBFBF" w:themeColor="background1" w:themeShade="BF"/>
              <w:bottom w:val="nil"/>
            </w:tcBorders>
            <w:vAlign w:val="center"/>
          </w:tcPr>
          <w:p w14:paraId="01DA7075" w14:textId="69890283" w:rsidR="00683EBF" w:rsidRPr="004650B8" w:rsidRDefault="00683EBF" w:rsidP="00683EBF">
            <w:pPr>
              <w:jc w:val="right"/>
              <w:rPr>
                <w:rFonts w:ascii="Arial" w:hAnsi="Arial" w:cs="Arial"/>
                <w:color w:val="FF0000"/>
                <w:szCs w:val="22"/>
                <w:lang w:val="el-GR" w:eastAsia="el-GR"/>
              </w:rPr>
            </w:pPr>
            <w:r w:rsidRPr="00ED12A7">
              <w:rPr>
                <w:rFonts w:ascii="Arial" w:hAnsi="Arial" w:cs="Arial"/>
                <w:color w:val="000000"/>
                <w:sz w:val="18"/>
                <w:szCs w:val="18"/>
              </w:rPr>
              <w:t>(1</w:t>
            </w:r>
            <w:r w:rsidR="00F32DD9">
              <w:rPr>
                <w:rFonts w:ascii="Arial" w:hAnsi="Arial" w:cs="Arial"/>
                <w:color w:val="000000"/>
                <w:sz w:val="18"/>
                <w:szCs w:val="18"/>
              </w:rPr>
              <w:t>,</w:t>
            </w:r>
            <w:r>
              <w:rPr>
                <w:rFonts w:ascii="Arial" w:hAnsi="Arial" w:cs="Arial"/>
                <w:color w:val="000000"/>
                <w:sz w:val="18"/>
                <w:szCs w:val="18"/>
              </w:rPr>
              <w:t>9</w:t>
            </w:r>
            <w:r w:rsidRPr="00ED12A7">
              <w:rPr>
                <w:rFonts w:ascii="Arial" w:hAnsi="Arial" w:cs="Arial"/>
                <w:color w:val="000000"/>
                <w:sz w:val="18"/>
                <w:szCs w:val="18"/>
              </w:rPr>
              <w:t>)</w:t>
            </w:r>
          </w:p>
        </w:tc>
        <w:tc>
          <w:tcPr>
            <w:tcW w:w="2206" w:type="dxa"/>
            <w:tcBorders>
              <w:bottom w:val="nil"/>
              <w:right w:val="nil"/>
            </w:tcBorders>
            <w:vAlign w:val="center"/>
          </w:tcPr>
          <w:p w14:paraId="3418F4BF" w14:textId="4D2C611C" w:rsidR="00683EBF" w:rsidRPr="004650B8" w:rsidRDefault="00683EBF" w:rsidP="00683EBF">
            <w:pPr>
              <w:jc w:val="right"/>
              <w:rPr>
                <w:rFonts w:ascii="Arial" w:hAnsi="Arial" w:cs="Arial"/>
                <w:color w:val="FF0000"/>
                <w:szCs w:val="22"/>
                <w:lang w:val="el-GR" w:eastAsia="el-GR"/>
              </w:rPr>
            </w:pPr>
            <w:r w:rsidRPr="00ED12A7">
              <w:rPr>
                <w:rFonts w:ascii="Arial" w:hAnsi="Arial" w:cs="Arial"/>
                <w:color w:val="000000"/>
                <w:sz w:val="18"/>
                <w:szCs w:val="18"/>
              </w:rPr>
              <w:t>(1</w:t>
            </w:r>
            <w:r w:rsidR="00F32DD9">
              <w:rPr>
                <w:rFonts w:ascii="Arial" w:hAnsi="Arial" w:cs="Arial"/>
                <w:color w:val="000000"/>
                <w:sz w:val="18"/>
                <w:szCs w:val="18"/>
              </w:rPr>
              <w:t>,</w:t>
            </w:r>
            <w:r w:rsidRPr="00ED12A7">
              <w:rPr>
                <w:rFonts w:ascii="Arial" w:hAnsi="Arial" w:cs="Arial"/>
                <w:color w:val="000000"/>
                <w:sz w:val="18"/>
                <w:szCs w:val="18"/>
              </w:rPr>
              <w:t>9)</w:t>
            </w:r>
          </w:p>
        </w:tc>
      </w:tr>
      <w:tr w:rsidR="00683EBF" w14:paraId="0FC7B47F" w14:textId="77777777" w:rsidTr="007077AF">
        <w:trPr>
          <w:trHeight w:val="257"/>
        </w:trPr>
        <w:tc>
          <w:tcPr>
            <w:tcW w:w="5794" w:type="dxa"/>
            <w:tcBorders>
              <w:top w:val="nil"/>
              <w:bottom w:val="nil"/>
              <w:right w:val="single" w:sz="2" w:space="0" w:color="BFBFBF" w:themeColor="background1" w:themeShade="BF"/>
            </w:tcBorders>
            <w:shd w:val="clear" w:color="auto" w:fill="F2F2F2" w:themeFill="background1" w:themeFillShade="F2"/>
            <w:vAlign w:val="center"/>
          </w:tcPr>
          <w:p w14:paraId="7A725E38" w14:textId="660C3F40" w:rsidR="00683EBF" w:rsidRPr="00FB20CB" w:rsidRDefault="00683EBF" w:rsidP="00683EBF">
            <w:pPr>
              <w:rPr>
                <w:rFonts w:ascii="Arial" w:hAnsi="Arial" w:cs="Arial"/>
                <w:szCs w:val="22"/>
                <w:lang w:eastAsia="el-GR"/>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2206" w:type="dxa"/>
            <w:tcBorders>
              <w:top w:val="nil"/>
              <w:left w:val="single" w:sz="2" w:space="0" w:color="BFBFBF" w:themeColor="background1" w:themeShade="BF"/>
              <w:bottom w:val="nil"/>
            </w:tcBorders>
            <w:shd w:val="clear" w:color="auto" w:fill="F2F2F2" w:themeFill="background1" w:themeFillShade="F2"/>
            <w:vAlign w:val="center"/>
          </w:tcPr>
          <w:p w14:paraId="10958E2F" w14:textId="337E7E20" w:rsidR="00683EBF" w:rsidRPr="004650B8" w:rsidRDefault="00683EBF" w:rsidP="00683EBF">
            <w:pPr>
              <w:jc w:val="right"/>
              <w:rPr>
                <w:rFonts w:ascii="Arial" w:hAnsi="Arial" w:cs="Arial"/>
                <w:color w:val="FF0000"/>
                <w:szCs w:val="22"/>
                <w:lang w:val="el-GR" w:eastAsia="el-GR"/>
              </w:rPr>
            </w:pPr>
            <w:r>
              <w:rPr>
                <w:rFonts w:ascii="Arial" w:hAnsi="Arial" w:cs="Arial"/>
                <w:b/>
                <w:bCs/>
                <w:color w:val="000000"/>
                <w:sz w:val="18"/>
                <w:szCs w:val="18"/>
              </w:rPr>
              <w:t>338</w:t>
            </w:r>
            <w:r w:rsidR="00F32DD9">
              <w:rPr>
                <w:rFonts w:ascii="Arial" w:hAnsi="Arial" w:cs="Arial"/>
                <w:b/>
                <w:bCs/>
                <w:color w:val="000000"/>
                <w:sz w:val="18"/>
                <w:szCs w:val="18"/>
              </w:rPr>
              <w:t>,</w:t>
            </w:r>
            <w:r>
              <w:rPr>
                <w:rFonts w:ascii="Arial" w:hAnsi="Arial" w:cs="Arial"/>
                <w:b/>
                <w:bCs/>
                <w:color w:val="000000"/>
                <w:sz w:val="18"/>
                <w:szCs w:val="18"/>
              </w:rPr>
              <w:t>4</w:t>
            </w:r>
          </w:p>
        </w:tc>
        <w:tc>
          <w:tcPr>
            <w:tcW w:w="2206" w:type="dxa"/>
            <w:tcBorders>
              <w:top w:val="nil"/>
              <w:bottom w:val="nil"/>
              <w:right w:val="nil"/>
            </w:tcBorders>
            <w:shd w:val="clear" w:color="auto" w:fill="F2F2F2" w:themeFill="background1" w:themeFillShade="F2"/>
            <w:vAlign w:val="center"/>
          </w:tcPr>
          <w:p w14:paraId="547C584C" w14:textId="5E7432E8" w:rsidR="00683EBF" w:rsidRPr="004650B8" w:rsidRDefault="00683EBF" w:rsidP="00683EBF">
            <w:pPr>
              <w:jc w:val="right"/>
              <w:rPr>
                <w:rFonts w:ascii="Arial" w:hAnsi="Arial" w:cs="Arial"/>
                <w:color w:val="FF0000"/>
                <w:szCs w:val="22"/>
                <w:lang w:val="el-GR" w:eastAsia="el-GR"/>
              </w:rPr>
            </w:pPr>
            <w:r>
              <w:rPr>
                <w:rFonts w:ascii="Arial" w:hAnsi="Arial" w:cs="Arial"/>
                <w:b/>
                <w:bCs/>
                <w:color w:val="000000"/>
                <w:sz w:val="18"/>
                <w:szCs w:val="18"/>
              </w:rPr>
              <w:t>329</w:t>
            </w:r>
            <w:r w:rsidR="00F32DD9">
              <w:rPr>
                <w:rFonts w:ascii="Arial" w:hAnsi="Arial" w:cs="Arial"/>
                <w:b/>
                <w:color w:val="000000"/>
                <w:sz w:val="18"/>
                <w:szCs w:val="18"/>
              </w:rPr>
              <w:t>,</w:t>
            </w:r>
            <w:r w:rsidRPr="00ED12A7">
              <w:rPr>
                <w:rFonts w:ascii="Arial" w:hAnsi="Arial" w:cs="Arial"/>
                <w:b/>
                <w:color w:val="000000"/>
                <w:sz w:val="18"/>
                <w:szCs w:val="18"/>
              </w:rPr>
              <w:t>1</w:t>
            </w:r>
          </w:p>
        </w:tc>
      </w:tr>
      <w:tr w:rsidR="00683EBF" w14:paraId="32C4454C" w14:textId="77777777" w:rsidTr="004650B8">
        <w:trPr>
          <w:trHeight w:val="257"/>
        </w:trPr>
        <w:tc>
          <w:tcPr>
            <w:tcW w:w="5794" w:type="dxa"/>
            <w:tcBorders>
              <w:top w:val="nil"/>
              <w:bottom w:val="single" w:sz="2" w:space="0" w:color="BFBFBF" w:themeColor="background1" w:themeShade="BF"/>
              <w:right w:val="nil"/>
            </w:tcBorders>
            <w:shd w:val="clear" w:color="auto" w:fill="F2F2F2" w:themeFill="background1" w:themeFillShade="F2"/>
            <w:vAlign w:val="center"/>
          </w:tcPr>
          <w:p w14:paraId="7B642142" w14:textId="7470CD41" w:rsidR="00683EBF" w:rsidRPr="00FB20CB" w:rsidRDefault="00683EBF" w:rsidP="00683EBF">
            <w:pPr>
              <w:jc w:val="right"/>
              <w:rPr>
                <w:rFonts w:ascii="Arial" w:hAnsi="Arial" w:cs="Arial"/>
                <w:szCs w:val="22"/>
                <w:lang w:eastAsia="el-GR"/>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2206" w:type="dxa"/>
            <w:tcBorders>
              <w:top w:val="nil"/>
              <w:left w:val="nil"/>
              <w:bottom w:val="single" w:sz="2" w:space="0" w:color="BFBFBF" w:themeColor="background1" w:themeShade="BF"/>
              <w:right w:val="nil"/>
            </w:tcBorders>
            <w:shd w:val="clear" w:color="auto" w:fill="F2F2F2" w:themeFill="background1" w:themeFillShade="F2"/>
            <w:vAlign w:val="center"/>
          </w:tcPr>
          <w:p w14:paraId="4B5CD8DD" w14:textId="4F19465C" w:rsidR="00683EBF" w:rsidRPr="004650B8" w:rsidRDefault="00683EBF" w:rsidP="00683EBF">
            <w:pPr>
              <w:jc w:val="right"/>
              <w:rPr>
                <w:rFonts w:ascii="Arial" w:hAnsi="Arial" w:cs="Arial"/>
                <w:color w:val="FF0000"/>
                <w:szCs w:val="22"/>
                <w:lang w:val="el-GR" w:eastAsia="el-GR"/>
              </w:rPr>
            </w:pPr>
            <w:r>
              <w:rPr>
                <w:rFonts w:ascii="Arial" w:hAnsi="Arial" w:cs="Arial"/>
                <w:b/>
                <w:bCs/>
                <w:i/>
                <w:iCs/>
                <w:color w:val="000000"/>
                <w:sz w:val="18"/>
                <w:szCs w:val="18"/>
              </w:rPr>
              <w:t>39</w:t>
            </w:r>
            <w:r w:rsidR="00F32DD9">
              <w:rPr>
                <w:rFonts w:ascii="Arial" w:hAnsi="Arial" w:cs="Arial"/>
                <w:b/>
                <w:bCs/>
                <w:i/>
                <w:iCs/>
                <w:color w:val="000000"/>
                <w:sz w:val="18"/>
                <w:szCs w:val="18"/>
              </w:rPr>
              <w:t>,</w:t>
            </w:r>
            <w:r>
              <w:rPr>
                <w:rFonts w:ascii="Arial" w:hAnsi="Arial" w:cs="Arial"/>
                <w:b/>
                <w:bCs/>
                <w:i/>
                <w:iCs/>
                <w:color w:val="000000"/>
                <w:sz w:val="18"/>
                <w:szCs w:val="18"/>
              </w:rPr>
              <w:t>4%</w:t>
            </w:r>
          </w:p>
        </w:tc>
        <w:tc>
          <w:tcPr>
            <w:tcW w:w="2206" w:type="dxa"/>
            <w:tcBorders>
              <w:top w:val="nil"/>
              <w:left w:val="nil"/>
              <w:bottom w:val="single" w:sz="2" w:space="0" w:color="BFBFBF" w:themeColor="background1" w:themeShade="BF"/>
              <w:right w:val="nil"/>
            </w:tcBorders>
            <w:shd w:val="clear" w:color="auto" w:fill="F2F2F2" w:themeFill="background1" w:themeFillShade="F2"/>
            <w:vAlign w:val="center"/>
          </w:tcPr>
          <w:p w14:paraId="43F861BD" w14:textId="68CEE2BB" w:rsidR="00683EBF" w:rsidRPr="004650B8" w:rsidRDefault="00683EBF" w:rsidP="00683EBF">
            <w:pPr>
              <w:jc w:val="right"/>
              <w:rPr>
                <w:rFonts w:ascii="Arial" w:hAnsi="Arial" w:cs="Arial"/>
                <w:color w:val="FF0000"/>
                <w:szCs w:val="22"/>
                <w:lang w:val="el-GR" w:eastAsia="el-GR"/>
              </w:rPr>
            </w:pPr>
            <w:r w:rsidRPr="00ED12A7">
              <w:rPr>
                <w:rFonts w:ascii="Arial" w:hAnsi="Arial" w:cs="Arial"/>
                <w:b/>
                <w:bCs/>
                <w:i/>
                <w:iCs/>
                <w:color w:val="000000"/>
                <w:sz w:val="18"/>
                <w:szCs w:val="18"/>
              </w:rPr>
              <w:t>40</w:t>
            </w:r>
            <w:r w:rsidR="00F32DD9">
              <w:rPr>
                <w:rFonts w:ascii="Arial" w:hAnsi="Arial" w:cs="Arial"/>
                <w:b/>
                <w:bCs/>
                <w:i/>
                <w:iCs/>
                <w:color w:val="000000"/>
                <w:sz w:val="18"/>
                <w:szCs w:val="18"/>
              </w:rPr>
              <w:t>,</w:t>
            </w:r>
            <w:r>
              <w:rPr>
                <w:rFonts w:ascii="Arial" w:hAnsi="Arial" w:cs="Arial"/>
                <w:b/>
                <w:bCs/>
                <w:i/>
                <w:iCs/>
                <w:color w:val="000000"/>
                <w:sz w:val="18"/>
                <w:szCs w:val="18"/>
              </w:rPr>
              <w:t>2</w:t>
            </w:r>
            <w:r w:rsidRPr="00ED12A7">
              <w:rPr>
                <w:rFonts w:ascii="Arial" w:hAnsi="Arial" w:cs="Arial"/>
                <w:b/>
                <w:bCs/>
                <w:i/>
                <w:iCs/>
                <w:color w:val="000000"/>
                <w:sz w:val="18"/>
                <w:szCs w:val="18"/>
              </w:rPr>
              <w:t>%</w:t>
            </w:r>
          </w:p>
        </w:tc>
      </w:tr>
    </w:tbl>
    <w:p w14:paraId="33B294A4" w14:textId="77777777" w:rsidR="008E3861" w:rsidRPr="009538AF" w:rsidRDefault="008E3861" w:rsidP="00E026B6">
      <w:pPr>
        <w:spacing w:after="0" w:line="240" w:lineRule="auto"/>
        <w:jc w:val="both"/>
        <w:rPr>
          <w:rFonts w:ascii="Arial" w:eastAsia="Times New Roman" w:hAnsi="Arial" w:cs="Arial"/>
          <w:b/>
          <w:color w:val="004B87"/>
          <w:lang w:val="en-US"/>
        </w:rPr>
      </w:pPr>
    </w:p>
    <w:p w14:paraId="5E0386D4" w14:textId="4E25C669" w:rsidR="00CE2C0F" w:rsidRPr="00E026B6" w:rsidRDefault="009E285A" w:rsidP="00E026B6">
      <w:pPr>
        <w:spacing w:after="0" w:line="240" w:lineRule="auto"/>
        <w:jc w:val="both"/>
        <w:rPr>
          <w:rFonts w:ascii="Arial" w:eastAsia="Times New Roman" w:hAnsi="Arial" w:cs="Arial"/>
          <w:b/>
          <w:color w:val="004B87"/>
        </w:rPr>
      </w:pPr>
      <w:r w:rsidRPr="00E026B6">
        <w:rPr>
          <w:rFonts w:ascii="Arial" w:eastAsia="Times New Roman" w:hAnsi="Arial" w:cs="Arial"/>
          <w:b/>
          <w:color w:val="004B87"/>
        </w:rPr>
        <w:lastRenderedPageBreak/>
        <w:t>Επενδύσεις</w:t>
      </w:r>
      <w:r w:rsidR="004E1B69" w:rsidRPr="00E026B6">
        <w:rPr>
          <w:rFonts w:ascii="Arial" w:eastAsia="Times New Roman" w:hAnsi="Arial" w:cs="Arial"/>
          <w:b/>
          <w:color w:val="004B87"/>
        </w:rPr>
        <w:t xml:space="preserve"> (και </w:t>
      </w:r>
      <w:r w:rsidR="00AE07D0" w:rsidRPr="00E026B6">
        <w:rPr>
          <w:rFonts w:ascii="Arial" w:eastAsia="Times New Roman" w:hAnsi="Arial" w:cs="Arial"/>
          <w:b/>
          <w:color w:val="004B87"/>
        </w:rPr>
        <w:t>προσαρμοσμένες</w:t>
      </w:r>
      <w:r w:rsidR="004E1B69" w:rsidRPr="00E026B6">
        <w:rPr>
          <w:rFonts w:ascii="Arial" w:eastAsia="Times New Roman" w:hAnsi="Arial" w:cs="Arial"/>
          <w:b/>
          <w:color w:val="004B87"/>
        </w:rPr>
        <w:t xml:space="preserve"> επενδύσεις)</w:t>
      </w:r>
      <w:r w:rsidRPr="00E026B6">
        <w:rPr>
          <w:rFonts w:ascii="Arial" w:eastAsia="Times New Roman" w:hAnsi="Arial" w:cs="Arial"/>
          <w:b/>
          <w:color w:val="004B87"/>
        </w:rPr>
        <w:t xml:space="preserve"> σε πάγια περιουσιακά στοιχεία </w:t>
      </w:r>
    </w:p>
    <w:p w14:paraId="5F993AEA" w14:textId="26FF7764" w:rsidR="005C0E70" w:rsidRDefault="009E285A" w:rsidP="00E026B6">
      <w:pPr>
        <w:spacing w:line="280" w:lineRule="exact"/>
        <w:jc w:val="both"/>
        <w:rPr>
          <w:rFonts w:ascii="Arial" w:eastAsia="Times New Roman" w:hAnsi="Arial" w:cs="Arial"/>
        </w:rPr>
      </w:pPr>
      <w:r w:rsidRPr="001D7A36">
        <w:rPr>
          <w:rFonts w:ascii="Arial" w:eastAsia="Times New Roman" w:hAnsi="Arial" w:cs="Arial"/>
        </w:rPr>
        <w:t>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78608DD5" w14:textId="77777777" w:rsidR="009016C7" w:rsidRDefault="009016C7" w:rsidP="00E026B6">
      <w:pPr>
        <w:spacing w:line="280" w:lineRule="exact"/>
        <w:jc w:val="both"/>
        <w:rPr>
          <w:rFonts w:ascii="Arial" w:eastAsia="Times New Roman" w:hAnsi="Arial" w:cs="Arial"/>
        </w:rPr>
      </w:pPr>
    </w:p>
    <w:p w14:paraId="0C2E27BB" w14:textId="1905398D" w:rsidR="002306CF" w:rsidRPr="00FB20CB" w:rsidRDefault="009016C7" w:rsidP="009016C7">
      <w:pPr>
        <w:pStyle w:val="Caption"/>
        <w:keepNext/>
        <w:rPr>
          <w:rFonts w:cs="Arial"/>
          <w:lang w:val="el-GR"/>
        </w:rPr>
      </w:pPr>
      <w:r w:rsidRPr="00FB20CB">
        <w:rPr>
          <w:rFonts w:cs="Arial"/>
          <w:lang w:val="el-GR"/>
        </w:rPr>
        <w:t>Επενδύσεις</w:t>
      </w:r>
    </w:p>
    <w:tbl>
      <w:tblPr>
        <w:tblStyle w:val="TableGrid"/>
        <w:tblW w:w="10522"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843"/>
        <w:gridCol w:w="1867"/>
        <w:gridCol w:w="1812"/>
      </w:tblGrid>
      <w:tr w:rsidR="004650B8" w:rsidRPr="00286E9D" w14:paraId="333BB4F9" w14:textId="77777777" w:rsidTr="007077AF">
        <w:trPr>
          <w:trHeight w:val="383"/>
        </w:trPr>
        <w:tc>
          <w:tcPr>
            <w:tcW w:w="6843"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26CAC4" w14:textId="4D35FA36" w:rsidR="004650B8" w:rsidRPr="00564663" w:rsidRDefault="004650B8" w:rsidP="000B05AD">
            <w:pPr>
              <w:pStyle w:val="ColorfulList-Accent11"/>
              <w:tabs>
                <w:tab w:val="left" w:pos="0"/>
                <w:tab w:val="left" w:pos="284"/>
              </w:tabs>
              <w:ind w:left="0" w:right="-90"/>
              <w:rPr>
                <w:rFonts w:ascii="Arial" w:hAnsi="Arial" w:cs="Arial"/>
                <w:b/>
                <w:sz w:val="18"/>
              </w:rPr>
            </w:pPr>
            <w:bookmarkStart w:id="12" w:name="_Hlk125463950"/>
            <w:bookmarkEnd w:id="11"/>
            <w:r w:rsidRPr="00A7639D">
              <w:rPr>
                <w:rFonts w:ascii="Arial" w:hAnsi="Arial" w:cs="Arial"/>
                <w:b/>
                <w:sz w:val="18"/>
                <w:szCs w:val="18"/>
              </w:rPr>
              <w:t>Όμιλος -(Ευρώ εκατ.)</w:t>
            </w:r>
          </w:p>
        </w:tc>
        <w:tc>
          <w:tcPr>
            <w:tcW w:w="1867"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29179E93" w14:textId="2F64E5D1" w:rsidR="004650B8" w:rsidRPr="004650B8" w:rsidRDefault="004650B8" w:rsidP="000B05AD">
            <w:pPr>
              <w:pStyle w:val="ColorfulList-Accent11"/>
              <w:tabs>
                <w:tab w:val="left" w:pos="0"/>
                <w:tab w:val="left" w:pos="284"/>
              </w:tabs>
              <w:ind w:left="0" w:right="-90"/>
              <w:jc w:val="center"/>
              <w:rPr>
                <w:rFonts w:ascii="Arial" w:hAnsi="Arial" w:cs="Arial"/>
                <w:i/>
                <w:sz w:val="18"/>
                <w:lang w:val="el-GR"/>
              </w:rPr>
            </w:pPr>
            <w:r w:rsidRPr="00E4041D">
              <w:rPr>
                <w:rFonts w:ascii="Arial" w:hAnsi="Arial" w:cs="Arial"/>
                <w:b/>
                <w:sz w:val="18"/>
              </w:rPr>
              <w:t>Q</w:t>
            </w:r>
            <w:r>
              <w:rPr>
                <w:rFonts w:ascii="Arial" w:hAnsi="Arial" w:cs="Arial"/>
                <w:b/>
                <w:sz w:val="18"/>
                <w:lang w:val="el-GR"/>
              </w:rPr>
              <w:t>1</w:t>
            </w:r>
            <w:r w:rsidRPr="00E4041D">
              <w:rPr>
                <w:rFonts w:ascii="Arial" w:hAnsi="Arial" w:cs="Arial"/>
                <w:b/>
                <w:sz w:val="18"/>
              </w:rPr>
              <w:t>'2</w:t>
            </w:r>
            <w:r>
              <w:rPr>
                <w:rFonts w:ascii="Arial" w:hAnsi="Arial" w:cs="Arial"/>
                <w:b/>
                <w:sz w:val="18"/>
                <w:lang w:val="el-GR"/>
              </w:rPr>
              <w:t>6</w:t>
            </w:r>
          </w:p>
        </w:tc>
        <w:tc>
          <w:tcPr>
            <w:tcW w:w="1812" w:type="dxa"/>
            <w:tcBorders>
              <w:top w:val="single" w:sz="2" w:space="0" w:color="808080" w:themeColor="background1" w:themeShade="80"/>
              <w:bottom w:val="single" w:sz="2" w:space="0" w:color="808080" w:themeColor="background1" w:themeShade="80"/>
              <w:right w:val="nil"/>
            </w:tcBorders>
            <w:vAlign w:val="center"/>
          </w:tcPr>
          <w:p w14:paraId="0A2B25AD" w14:textId="329C7E0C" w:rsidR="004650B8" w:rsidRPr="004650B8" w:rsidRDefault="004650B8" w:rsidP="000B05AD">
            <w:pPr>
              <w:pStyle w:val="ColorfulList-Accent11"/>
              <w:tabs>
                <w:tab w:val="left" w:pos="0"/>
                <w:tab w:val="left" w:pos="284"/>
              </w:tabs>
              <w:ind w:left="0" w:right="-90"/>
              <w:jc w:val="center"/>
              <w:rPr>
                <w:rFonts w:ascii="Arial" w:hAnsi="Arial" w:cs="Arial"/>
                <w:i/>
                <w:sz w:val="18"/>
                <w:lang w:val="el-GR"/>
              </w:rPr>
            </w:pPr>
            <w:r w:rsidRPr="00E4041D">
              <w:rPr>
                <w:rFonts w:ascii="Arial" w:hAnsi="Arial" w:cs="Arial"/>
                <w:b/>
                <w:sz w:val="18"/>
              </w:rPr>
              <w:t>Q</w:t>
            </w:r>
            <w:r>
              <w:rPr>
                <w:rFonts w:ascii="Arial" w:hAnsi="Arial" w:cs="Arial"/>
                <w:b/>
                <w:sz w:val="18"/>
                <w:lang w:val="el-GR"/>
              </w:rPr>
              <w:t>1</w:t>
            </w:r>
            <w:r w:rsidRPr="00E4041D">
              <w:rPr>
                <w:rFonts w:ascii="Arial" w:hAnsi="Arial" w:cs="Arial"/>
                <w:b/>
                <w:sz w:val="18"/>
              </w:rPr>
              <w:t>'2</w:t>
            </w:r>
            <w:r>
              <w:rPr>
                <w:rFonts w:ascii="Arial" w:hAnsi="Arial" w:cs="Arial"/>
                <w:b/>
                <w:sz w:val="18"/>
                <w:lang w:val="el-GR"/>
              </w:rPr>
              <w:t>5</w:t>
            </w:r>
          </w:p>
        </w:tc>
      </w:tr>
      <w:tr w:rsidR="00AA3F3A" w:rsidRPr="00286E9D" w14:paraId="631118F7" w14:textId="77777777" w:rsidTr="007077AF">
        <w:trPr>
          <w:trHeight w:val="264"/>
        </w:trPr>
        <w:tc>
          <w:tcPr>
            <w:tcW w:w="6843" w:type="dxa"/>
            <w:tcBorders>
              <w:top w:val="single" w:sz="2" w:space="0" w:color="808080" w:themeColor="background1" w:themeShade="80"/>
              <w:right w:val="single" w:sz="2" w:space="0" w:color="808080" w:themeColor="background1" w:themeShade="80"/>
            </w:tcBorders>
            <w:vAlign w:val="center"/>
          </w:tcPr>
          <w:p w14:paraId="0026EEFF" w14:textId="2ACCD631" w:rsidR="00AA3F3A" w:rsidRPr="000B05AD" w:rsidRDefault="00AA3F3A" w:rsidP="00AA3F3A">
            <w:pPr>
              <w:pStyle w:val="ColorfulList-Accent11"/>
              <w:tabs>
                <w:tab w:val="left" w:pos="0"/>
                <w:tab w:val="left" w:pos="284"/>
              </w:tabs>
              <w:ind w:left="0" w:right="-90"/>
              <w:jc w:val="both"/>
              <w:rPr>
                <w:rFonts w:ascii="Arial" w:hAnsi="Arial" w:cs="Arial"/>
                <w:sz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867" w:type="dxa"/>
            <w:tcBorders>
              <w:top w:val="single" w:sz="2" w:space="0" w:color="808080" w:themeColor="background1" w:themeShade="80"/>
              <w:left w:val="single" w:sz="2" w:space="0" w:color="808080" w:themeColor="background1" w:themeShade="80"/>
            </w:tcBorders>
            <w:vAlign w:val="bottom"/>
          </w:tcPr>
          <w:p w14:paraId="06ED5B52" w14:textId="422DF30D" w:rsidR="00AA3F3A" w:rsidRPr="001765A2" w:rsidRDefault="00AA3F3A" w:rsidP="00AA3F3A">
            <w:pPr>
              <w:pStyle w:val="ColorfulList-Accent11"/>
              <w:tabs>
                <w:tab w:val="left" w:pos="0"/>
                <w:tab w:val="left" w:pos="284"/>
              </w:tabs>
              <w:ind w:left="0" w:right="-90"/>
              <w:jc w:val="center"/>
              <w:rPr>
                <w:rFonts w:ascii="Arial" w:hAnsi="Arial" w:cs="Arial"/>
                <w:i/>
                <w:color w:val="FF0000"/>
                <w:sz w:val="18"/>
              </w:rPr>
            </w:pPr>
            <w:r w:rsidRPr="00FF17B9">
              <w:rPr>
                <w:rFonts w:ascii="Arial" w:hAnsi="Arial" w:cs="Arial"/>
                <w:color w:val="000000"/>
                <w:sz w:val="18"/>
                <w:szCs w:val="18"/>
              </w:rPr>
              <w:t>(108</w:t>
            </w:r>
            <w:r w:rsidR="00271124">
              <w:rPr>
                <w:rFonts w:ascii="Arial" w:hAnsi="Arial" w:cs="Arial"/>
                <w:color w:val="000000"/>
                <w:sz w:val="18"/>
                <w:szCs w:val="18"/>
              </w:rPr>
              <w:t>,</w:t>
            </w:r>
            <w:r w:rsidRPr="00FF17B9">
              <w:rPr>
                <w:rFonts w:ascii="Arial" w:hAnsi="Arial" w:cs="Arial"/>
                <w:color w:val="000000"/>
                <w:sz w:val="18"/>
                <w:szCs w:val="18"/>
              </w:rPr>
              <w:t>5)</w:t>
            </w:r>
          </w:p>
        </w:tc>
        <w:tc>
          <w:tcPr>
            <w:tcW w:w="1812" w:type="dxa"/>
            <w:tcBorders>
              <w:top w:val="single" w:sz="2" w:space="0" w:color="808080" w:themeColor="background1" w:themeShade="80"/>
              <w:right w:val="nil"/>
            </w:tcBorders>
            <w:vAlign w:val="bottom"/>
          </w:tcPr>
          <w:p w14:paraId="5AD5181A" w14:textId="5339767B" w:rsidR="00AA3F3A" w:rsidRPr="001765A2" w:rsidRDefault="00AA3F3A" w:rsidP="00AA3F3A">
            <w:pPr>
              <w:pStyle w:val="ColorfulList-Accent11"/>
              <w:tabs>
                <w:tab w:val="left" w:pos="0"/>
                <w:tab w:val="left" w:pos="284"/>
              </w:tabs>
              <w:ind w:left="0" w:right="-90"/>
              <w:jc w:val="center"/>
              <w:rPr>
                <w:rFonts w:ascii="Arial" w:hAnsi="Arial" w:cs="Arial"/>
                <w:i/>
                <w:color w:val="FF0000"/>
                <w:sz w:val="18"/>
              </w:rPr>
            </w:pPr>
            <w:r w:rsidRPr="00FF17B9">
              <w:rPr>
                <w:rFonts w:ascii="Arial" w:hAnsi="Arial" w:cs="Arial"/>
                <w:color w:val="000000"/>
                <w:sz w:val="18"/>
                <w:szCs w:val="18"/>
              </w:rPr>
              <w:t>(117</w:t>
            </w:r>
            <w:r w:rsidR="00271124">
              <w:rPr>
                <w:rFonts w:ascii="Arial" w:hAnsi="Arial" w:cs="Arial"/>
                <w:color w:val="000000"/>
                <w:sz w:val="18"/>
                <w:szCs w:val="18"/>
              </w:rPr>
              <w:t>,</w:t>
            </w:r>
            <w:r w:rsidRPr="00FF17B9">
              <w:rPr>
                <w:rFonts w:ascii="Arial" w:hAnsi="Arial" w:cs="Arial"/>
                <w:color w:val="000000"/>
                <w:sz w:val="18"/>
                <w:szCs w:val="18"/>
              </w:rPr>
              <w:t>4)</w:t>
            </w:r>
          </w:p>
        </w:tc>
      </w:tr>
      <w:tr w:rsidR="00AA3F3A" w:rsidRPr="00286E9D" w14:paraId="17CE6AE2" w14:textId="77777777" w:rsidTr="007077AF">
        <w:trPr>
          <w:trHeight w:val="264"/>
        </w:trPr>
        <w:tc>
          <w:tcPr>
            <w:tcW w:w="6843" w:type="dxa"/>
            <w:tcBorders>
              <w:right w:val="single" w:sz="2" w:space="0" w:color="808080" w:themeColor="background1" w:themeShade="80"/>
            </w:tcBorders>
            <w:vAlign w:val="center"/>
          </w:tcPr>
          <w:p w14:paraId="41587F22" w14:textId="0F41D0D9" w:rsidR="00AA3F3A" w:rsidRPr="00564663" w:rsidRDefault="00AA3F3A" w:rsidP="00AA3F3A">
            <w:pPr>
              <w:pStyle w:val="ColorfulList-Accent11"/>
              <w:tabs>
                <w:tab w:val="left" w:pos="0"/>
                <w:tab w:val="left" w:pos="284"/>
              </w:tabs>
              <w:ind w:left="0" w:right="-90"/>
              <w:jc w:val="both"/>
              <w:rPr>
                <w:rFonts w:ascii="Arial" w:hAnsi="Arial" w:cs="Arial"/>
                <w:sz w:val="18"/>
              </w:rPr>
            </w:pPr>
            <w:r w:rsidRPr="00A7639D">
              <w:rPr>
                <w:rFonts w:ascii="Arial" w:hAnsi="Arial" w:cs="Arial"/>
                <w:sz w:val="18"/>
                <w:szCs w:val="18"/>
              </w:rPr>
              <w:t>Καταβολές για αγορά φάσματος</w:t>
            </w:r>
          </w:p>
        </w:tc>
        <w:tc>
          <w:tcPr>
            <w:tcW w:w="1867" w:type="dxa"/>
            <w:tcBorders>
              <w:left w:val="single" w:sz="2" w:space="0" w:color="808080" w:themeColor="background1" w:themeShade="80"/>
            </w:tcBorders>
            <w:vAlign w:val="center"/>
          </w:tcPr>
          <w:p w14:paraId="32F54AEB" w14:textId="1E47DB37" w:rsidR="00AA3F3A" w:rsidRPr="001765A2" w:rsidRDefault="00AA3F3A" w:rsidP="00AA3F3A">
            <w:pPr>
              <w:pStyle w:val="ColorfulList-Accent11"/>
              <w:tabs>
                <w:tab w:val="left" w:pos="0"/>
                <w:tab w:val="left" w:pos="284"/>
              </w:tabs>
              <w:ind w:left="0" w:right="-90"/>
              <w:jc w:val="center"/>
              <w:rPr>
                <w:rFonts w:ascii="Arial" w:hAnsi="Arial" w:cs="Arial"/>
                <w:color w:val="FF0000"/>
                <w:sz w:val="18"/>
                <w:szCs w:val="18"/>
              </w:rPr>
            </w:pPr>
            <w:r w:rsidRPr="00FF17B9">
              <w:rPr>
                <w:rFonts w:ascii="Arial" w:hAnsi="Arial" w:cs="Arial"/>
                <w:sz w:val="18"/>
                <w:szCs w:val="18"/>
              </w:rPr>
              <w:t>-</w:t>
            </w:r>
          </w:p>
        </w:tc>
        <w:tc>
          <w:tcPr>
            <w:tcW w:w="1812" w:type="dxa"/>
            <w:tcBorders>
              <w:right w:val="nil"/>
            </w:tcBorders>
            <w:vAlign w:val="center"/>
          </w:tcPr>
          <w:p w14:paraId="0747E713" w14:textId="45F8B5E8" w:rsidR="00AA3F3A" w:rsidRPr="001765A2" w:rsidRDefault="00AA3F3A" w:rsidP="00AA3F3A">
            <w:pPr>
              <w:pStyle w:val="ColorfulList-Accent11"/>
              <w:tabs>
                <w:tab w:val="left" w:pos="0"/>
                <w:tab w:val="left" w:pos="284"/>
              </w:tabs>
              <w:ind w:left="0" w:right="-90"/>
              <w:jc w:val="center"/>
              <w:rPr>
                <w:rFonts w:ascii="Arial" w:hAnsi="Arial" w:cs="Arial"/>
                <w:color w:val="FF0000"/>
                <w:sz w:val="18"/>
                <w:szCs w:val="18"/>
              </w:rPr>
            </w:pPr>
            <w:r w:rsidRPr="00FF17B9">
              <w:rPr>
                <w:rFonts w:ascii="Arial" w:hAnsi="Arial" w:cs="Arial"/>
                <w:sz w:val="18"/>
                <w:szCs w:val="18"/>
              </w:rPr>
              <w:t>-</w:t>
            </w:r>
          </w:p>
        </w:tc>
      </w:tr>
      <w:tr w:rsidR="00AA3F3A" w:rsidRPr="00286E9D" w14:paraId="20778155" w14:textId="77777777" w:rsidTr="007077AF">
        <w:trPr>
          <w:trHeight w:val="264"/>
        </w:trPr>
        <w:tc>
          <w:tcPr>
            <w:tcW w:w="6843" w:type="dxa"/>
            <w:tcBorders>
              <w:right w:val="single" w:sz="2" w:space="0" w:color="808080" w:themeColor="background1" w:themeShade="80"/>
            </w:tcBorders>
            <w:shd w:val="clear" w:color="auto" w:fill="F2F2F2" w:themeFill="background1" w:themeFillShade="F2"/>
            <w:vAlign w:val="center"/>
          </w:tcPr>
          <w:p w14:paraId="5C0E0082" w14:textId="6AF5CD67" w:rsidR="00AA3F3A" w:rsidRPr="000B05AD" w:rsidRDefault="00AA3F3A" w:rsidP="00AA3F3A">
            <w:pPr>
              <w:pStyle w:val="ColorfulList-Accent11"/>
              <w:tabs>
                <w:tab w:val="left" w:pos="0"/>
                <w:tab w:val="left" w:pos="284"/>
              </w:tabs>
              <w:ind w:left="0" w:right="-90"/>
              <w:jc w:val="both"/>
              <w:rPr>
                <w:rFonts w:ascii="Arial" w:hAnsi="Arial" w:cs="Arial"/>
                <w:b/>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86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13D7D90C" w14:textId="6A1EA0B1" w:rsidR="00AA3F3A" w:rsidRPr="001765A2" w:rsidRDefault="00AA3F3A" w:rsidP="00AA3F3A">
            <w:pPr>
              <w:pStyle w:val="ColorfulList-Accent11"/>
              <w:tabs>
                <w:tab w:val="left" w:pos="0"/>
                <w:tab w:val="left" w:pos="284"/>
              </w:tabs>
              <w:ind w:left="0" w:right="-90"/>
              <w:jc w:val="center"/>
              <w:rPr>
                <w:rFonts w:ascii="Arial" w:hAnsi="Arial" w:cs="Arial"/>
                <w:b/>
                <w:bCs/>
                <w:i/>
                <w:color w:val="FF0000"/>
                <w:sz w:val="18"/>
              </w:rPr>
            </w:pPr>
            <w:r w:rsidRPr="00FF17B9">
              <w:rPr>
                <w:rFonts w:ascii="Arial" w:hAnsi="Arial" w:cs="Arial"/>
                <w:b/>
                <w:color w:val="000000"/>
                <w:sz w:val="18"/>
                <w:szCs w:val="18"/>
              </w:rPr>
              <w:t>(</w:t>
            </w:r>
            <w:r w:rsidRPr="00FF17B9">
              <w:rPr>
                <w:rFonts w:ascii="Arial" w:hAnsi="Arial" w:cs="Arial"/>
                <w:b/>
                <w:bCs/>
                <w:color w:val="000000"/>
                <w:sz w:val="18"/>
                <w:szCs w:val="18"/>
              </w:rPr>
              <w:t>108</w:t>
            </w:r>
            <w:r w:rsidR="00271124">
              <w:rPr>
                <w:rFonts w:ascii="Arial" w:hAnsi="Arial" w:cs="Arial"/>
                <w:b/>
                <w:color w:val="000000"/>
                <w:sz w:val="18"/>
                <w:szCs w:val="18"/>
              </w:rPr>
              <w:t>,</w:t>
            </w:r>
            <w:r w:rsidRPr="00FF17B9">
              <w:rPr>
                <w:rFonts w:ascii="Arial" w:hAnsi="Arial" w:cs="Arial"/>
                <w:b/>
                <w:color w:val="000000"/>
                <w:sz w:val="18"/>
                <w:szCs w:val="18"/>
              </w:rPr>
              <w:t>5)</w:t>
            </w:r>
          </w:p>
        </w:tc>
        <w:tc>
          <w:tcPr>
            <w:tcW w:w="1812" w:type="dxa"/>
            <w:tcBorders>
              <w:bottom w:val="single" w:sz="2" w:space="0" w:color="808080" w:themeColor="background1" w:themeShade="80"/>
              <w:right w:val="nil"/>
            </w:tcBorders>
            <w:shd w:val="clear" w:color="auto" w:fill="F2F2F2" w:themeFill="background1" w:themeFillShade="F2"/>
            <w:vAlign w:val="bottom"/>
          </w:tcPr>
          <w:p w14:paraId="5AAE5FB3" w14:textId="22974B0A" w:rsidR="00AA3F3A" w:rsidRPr="001765A2" w:rsidRDefault="00AA3F3A" w:rsidP="00AA3F3A">
            <w:pPr>
              <w:pStyle w:val="ColorfulList-Accent11"/>
              <w:tabs>
                <w:tab w:val="left" w:pos="0"/>
                <w:tab w:val="left" w:pos="284"/>
              </w:tabs>
              <w:ind w:left="0" w:right="-90"/>
              <w:jc w:val="center"/>
              <w:rPr>
                <w:rFonts w:ascii="Arial" w:hAnsi="Arial" w:cs="Arial"/>
                <w:b/>
                <w:bCs/>
                <w:i/>
                <w:color w:val="FF0000"/>
                <w:sz w:val="18"/>
              </w:rPr>
            </w:pPr>
            <w:r w:rsidRPr="00FF17B9">
              <w:rPr>
                <w:rFonts w:ascii="Arial" w:hAnsi="Arial" w:cs="Arial"/>
                <w:b/>
                <w:color w:val="000000"/>
                <w:sz w:val="18"/>
                <w:szCs w:val="18"/>
              </w:rPr>
              <w:t>(</w:t>
            </w:r>
            <w:r w:rsidRPr="00FF17B9">
              <w:rPr>
                <w:rFonts w:ascii="Arial" w:hAnsi="Arial" w:cs="Arial"/>
                <w:b/>
                <w:bCs/>
                <w:color w:val="000000"/>
                <w:sz w:val="18"/>
                <w:szCs w:val="18"/>
              </w:rPr>
              <w:t>117</w:t>
            </w:r>
            <w:r w:rsidR="00271124">
              <w:rPr>
                <w:rFonts w:ascii="Arial" w:hAnsi="Arial" w:cs="Arial"/>
                <w:b/>
                <w:color w:val="000000"/>
                <w:sz w:val="18"/>
                <w:szCs w:val="18"/>
              </w:rPr>
              <w:t>,</w:t>
            </w:r>
            <w:r w:rsidRPr="00FF17B9">
              <w:rPr>
                <w:rFonts w:ascii="Arial" w:hAnsi="Arial" w:cs="Arial"/>
                <w:b/>
                <w:color w:val="000000"/>
                <w:sz w:val="18"/>
                <w:szCs w:val="18"/>
              </w:rPr>
              <w:t>4)</w:t>
            </w:r>
          </w:p>
        </w:tc>
      </w:tr>
    </w:tbl>
    <w:p w14:paraId="4900AE89" w14:textId="77777777" w:rsidR="005B6F70" w:rsidRDefault="005B6F70" w:rsidP="0022549B">
      <w:pPr>
        <w:spacing w:after="0" w:line="240" w:lineRule="auto"/>
        <w:jc w:val="both"/>
        <w:rPr>
          <w:rFonts w:ascii="Arial" w:eastAsia="Times New Roman" w:hAnsi="Arial" w:cs="Arial"/>
          <w:b/>
          <w:color w:val="004B87"/>
        </w:rPr>
      </w:pPr>
    </w:p>
    <w:p w14:paraId="4D7A45A9" w14:textId="05DEC382" w:rsidR="00F6576C" w:rsidRPr="004E1B69"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t>Ελεύθερες Ταμειακές Ροές-</w:t>
      </w:r>
      <w:r w:rsidR="00C27F35">
        <w:rPr>
          <w:rFonts w:ascii="Arial" w:eastAsia="Times New Roman" w:hAnsi="Arial" w:cs="Arial"/>
          <w:b/>
          <w:color w:val="004B87"/>
        </w:rPr>
        <w:t>Ελεύθερες Ταμειακές Ροές μετά από μισθώσεις (</w:t>
      </w:r>
      <w:r w:rsidR="00C27F35">
        <w:rPr>
          <w:rFonts w:ascii="Arial" w:eastAsia="Times New Roman" w:hAnsi="Arial" w:cs="Arial"/>
          <w:b/>
          <w:color w:val="004B87"/>
          <w:lang w:val="en-US"/>
        </w:rPr>
        <w:t>AL</w:t>
      </w:r>
      <w:r w:rsidR="00C27F35" w:rsidRPr="00C27F35">
        <w:rPr>
          <w:rFonts w:ascii="Arial" w:eastAsia="Times New Roman" w:hAnsi="Arial" w:cs="Arial"/>
          <w:b/>
          <w:color w:val="004B87"/>
        </w:rPr>
        <w:t>)</w:t>
      </w:r>
      <w:r w:rsidR="00C27F35" w:rsidRPr="009B24AD">
        <w:rPr>
          <w:rFonts w:ascii="Arial" w:eastAsia="Times New Roman" w:hAnsi="Arial" w:cs="Arial"/>
          <w:b/>
          <w:color w:val="004B87"/>
        </w:rPr>
        <w:t>-</w:t>
      </w:r>
      <w:r w:rsidRPr="004E1B69">
        <w:rPr>
          <w:rFonts w:ascii="Arial" w:eastAsia="Times New Roman" w:hAnsi="Arial" w:cs="Arial"/>
          <w:b/>
          <w:color w:val="004B87"/>
        </w:rPr>
        <w:t xml:space="preserve"> </w:t>
      </w:r>
      <w:r w:rsidR="00E763EC">
        <w:rPr>
          <w:rFonts w:ascii="Arial" w:eastAsia="Times New Roman" w:hAnsi="Arial" w:cs="Arial"/>
          <w:b/>
          <w:color w:val="004B87"/>
        </w:rPr>
        <w:t xml:space="preserve">Προσαρμοσμένες </w:t>
      </w:r>
      <w:r w:rsidRPr="004E1B69">
        <w:rPr>
          <w:rFonts w:ascii="Arial" w:eastAsia="Times New Roman" w:hAnsi="Arial" w:cs="Arial"/>
          <w:b/>
          <w:color w:val="004B87"/>
        </w:rPr>
        <w:t>Ελεύθερες Ταμειακές Ροές μετά από μισθώσεις (</w:t>
      </w:r>
      <w:r w:rsidRPr="0022549B">
        <w:rPr>
          <w:rFonts w:ascii="Arial" w:eastAsia="Times New Roman" w:hAnsi="Arial" w:cs="Arial"/>
          <w:b/>
          <w:color w:val="004B87"/>
          <w:lang w:val="en-US"/>
        </w:rPr>
        <w:t>AL</w:t>
      </w:r>
      <w:r w:rsidR="00411674">
        <w:rPr>
          <w:rFonts w:ascii="Arial" w:eastAsia="Times New Roman" w:hAnsi="Arial" w:cs="Arial"/>
          <w:b/>
          <w:color w:val="004B87"/>
        </w:rPr>
        <w:t>)</w:t>
      </w:r>
    </w:p>
    <w:p w14:paraId="1EC997A6" w14:textId="1F8B2B5A" w:rsidR="009E285A" w:rsidRPr="001D7A36" w:rsidRDefault="009E285A" w:rsidP="000A16E4">
      <w:pPr>
        <w:pStyle w:val="ListParagraph"/>
        <w:numPr>
          <w:ilvl w:val="0"/>
          <w:numId w:val="9"/>
        </w:numPr>
        <w:spacing w:after="160" w:line="280" w:lineRule="exact"/>
        <w:ind w:left="340" w:hanging="340"/>
        <w:jc w:val="both"/>
        <w:rPr>
          <w:rFonts w:ascii="Arial" w:hAnsi="Arial" w:cs="Arial"/>
          <w:sz w:val="22"/>
          <w:szCs w:val="22"/>
          <w:lang w:val="el-GR"/>
        </w:rPr>
      </w:pPr>
      <w:r w:rsidRPr="00E026B6">
        <w:rPr>
          <w:rFonts w:ascii="Arial" w:hAnsi="Arial" w:cs="Arial"/>
          <w:sz w:val="22"/>
          <w:szCs w:val="22"/>
        </w:rPr>
        <w:t>O</w:t>
      </w:r>
      <w:r w:rsidRPr="001D7A36">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AEA868A" w14:textId="047526A6" w:rsidR="00D4284C" w:rsidRPr="001D7A36" w:rsidRDefault="00F31EE9" w:rsidP="000A16E4">
      <w:pPr>
        <w:pStyle w:val="ListParagraph"/>
        <w:numPr>
          <w:ilvl w:val="0"/>
          <w:numId w:val="9"/>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Οι Προσαρμοσμένες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00D4284C" w:rsidRPr="001D7A36">
        <w:rPr>
          <w:rFonts w:ascii="Arial" w:hAnsi="Arial" w:cs="Arial"/>
          <w:sz w:val="22"/>
          <w:szCs w:val="22"/>
          <w:lang w:val="el-GR"/>
        </w:rPr>
        <w:t>Υπολογίζονται εξαιρώντας από τις Ελεύθερες Ταμειακές Ροές μετά από μισθώσεις (</w:t>
      </w:r>
      <w:r w:rsidR="00D4284C" w:rsidRPr="00E026B6">
        <w:rPr>
          <w:rFonts w:ascii="Arial" w:hAnsi="Arial" w:cs="Arial"/>
          <w:sz w:val="22"/>
          <w:szCs w:val="22"/>
        </w:rPr>
        <w:t>AL</w:t>
      </w:r>
      <w:r w:rsidR="00D4284C" w:rsidRPr="001D7A36">
        <w:rPr>
          <w:rFonts w:ascii="Arial" w:hAnsi="Arial" w:cs="Arial"/>
          <w:sz w:val="22"/>
          <w:szCs w:val="22"/>
          <w:lang w:val="el-GR"/>
        </w:rPr>
        <w:t>) τις καταβολές προγραμμάτων εθελούσιας αποχώρησης, τις καταβολές εξόδων αναδιοργάνωσης και τις καταβολές για αγορά φάσματος.</w:t>
      </w:r>
    </w:p>
    <w:p w14:paraId="3D5A995A" w14:textId="52382962" w:rsidR="00F31EE9" w:rsidRPr="00284899" w:rsidRDefault="00F31EE9" w:rsidP="00E026B6">
      <w:pPr>
        <w:pStyle w:val="ListParagraph"/>
        <w:jc w:val="both"/>
        <w:rPr>
          <w:rFonts w:ascii="Arial" w:hAnsi="Arial" w:cs="Arial"/>
          <w:lang w:val="el-GR"/>
        </w:rPr>
      </w:pPr>
    </w:p>
    <w:p w14:paraId="224C0D07" w14:textId="734C6FFF" w:rsidR="002306CF" w:rsidRPr="007077AF" w:rsidRDefault="00F31EE9" w:rsidP="007077AF">
      <w:pPr>
        <w:pStyle w:val="ListParagraph"/>
        <w:numPr>
          <w:ilvl w:val="0"/>
          <w:numId w:val="9"/>
        </w:numPr>
        <w:spacing w:after="160" w:line="280" w:lineRule="exact"/>
        <w:ind w:left="340" w:hanging="340"/>
        <w:jc w:val="both"/>
        <w:rPr>
          <w:rFonts w:ascii="Arial" w:hAnsi="Arial" w:cs="Arial"/>
          <w:lang w:val="el-GR"/>
        </w:rPr>
      </w:pPr>
      <w:r w:rsidRPr="007077AF">
        <w:rPr>
          <w:rFonts w:ascii="Arial" w:hAnsi="Arial" w:cs="Arial"/>
          <w:sz w:val="22"/>
          <w:szCs w:val="22"/>
          <w:lang w:val="el-GR"/>
        </w:rPr>
        <w:t>Οι Ελεύθερες Ταμειακές Ροές μετά από μισθώσεις (</w:t>
      </w:r>
      <w:r w:rsidRPr="00E109F0">
        <w:rPr>
          <w:rFonts w:ascii="Arial" w:hAnsi="Arial" w:cs="Arial"/>
          <w:sz w:val="22"/>
          <w:szCs w:val="22"/>
        </w:rPr>
        <w:t>AL</w:t>
      </w:r>
      <w:r w:rsidRPr="007077AF">
        <w:rPr>
          <w:rFonts w:ascii="Arial" w:hAnsi="Arial" w:cs="Arial"/>
          <w:sz w:val="22"/>
          <w:szCs w:val="22"/>
          <w:lang w:val="el-GR"/>
        </w:rPr>
        <w:t>) και οι Προσαρμοσμένες Ελεύθερες Ταμειακές Ροές μετά από μισθώσεις (</w:t>
      </w:r>
      <w:r w:rsidRPr="00E109F0">
        <w:rPr>
          <w:rFonts w:ascii="Arial" w:hAnsi="Arial" w:cs="Arial"/>
          <w:sz w:val="22"/>
          <w:szCs w:val="22"/>
        </w:rPr>
        <w:t>AL</w:t>
      </w:r>
      <w:r w:rsidRPr="007077AF">
        <w:rPr>
          <w:rFonts w:ascii="Arial" w:eastAsiaTheme="minorHAnsi" w:hAnsi="Arial" w:cs="Arial"/>
          <w:sz w:val="22"/>
          <w:szCs w:val="22"/>
          <w:lang w:val="el-GR"/>
        </w:rPr>
        <w:t>)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bookmarkEnd w:id="12"/>
    </w:p>
    <w:p w14:paraId="35A299F6" w14:textId="09E0503E" w:rsidR="003B27F4" w:rsidRPr="00FB20CB" w:rsidRDefault="00CD35BE" w:rsidP="00887009">
      <w:pPr>
        <w:pStyle w:val="Caption"/>
        <w:keepNext/>
        <w:rPr>
          <w:rFonts w:cs="Arial"/>
          <w:lang w:val="el-GR"/>
        </w:rPr>
      </w:pPr>
      <w:r w:rsidRPr="00CD35BE">
        <w:rPr>
          <w:rFonts w:cs="Arial"/>
          <w:lang w:val="el-GR"/>
        </w:rPr>
        <w:t>Ελεύθερες Ταμειακές Ροές</w:t>
      </w:r>
    </w:p>
    <w:tbl>
      <w:tblPr>
        <w:tblStyle w:val="TableGrid"/>
        <w:tblW w:w="10448" w:type="dxa"/>
        <w:tblBorders>
          <w:top w:val="single" w:sz="2" w:space="0" w:color="BFBFBF" w:themeColor="background1" w:themeShade="BF"/>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6240"/>
        <w:gridCol w:w="2602"/>
        <w:gridCol w:w="1606"/>
      </w:tblGrid>
      <w:tr w:rsidR="00330B40" w14:paraId="374BD321" w14:textId="77777777" w:rsidTr="007077AF">
        <w:trPr>
          <w:trHeight w:val="454"/>
          <w:tblHeader/>
        </w:trPr>
        <w:tc>
          <w:tcPr>
            <w:tcW w:w="6240"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6D28B6" w14:textId="437BA43A" w:rsidR="00330B40" w:rsidRPr="00047C99" w:rsidRDefault="00330B40" w:rsidP="001F1F41">
            <w:pPr>
              <w:jc w:val="both"/>
              <w:rPr>
                <w:rFonts w:ascii="Arial" w:hAnsi="Arial" w:cs="Arial"/>
                <w:b/>
                <w:sz w:val="18"/>
              </w:rPr>
            </w:pPr>
            <w:r w:rsidRPr="00A7639D">
              <w:rPr>
                <w:rFonts w:ascii="Arial" w:hAnsi="Arial" w:cs="Arial"/>
                <w:b/>
                <w:sz w:val="18"/>
                <w:szCs w:val="18"/>
              </w:rPr>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2602"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3BF8D35" w14:textId="7AC79266" w:rsidR="00330B40" w:rsidRPr="00330B40" w:rsidRDefault="00330B40" w:rsidP="001F1F41">
            <w:pPr>
              <w:jc w:val="center"/>
              <w:rPr>
                <w:rFonts w:ascii="Arial" w:hAnsi="Arial" w:cs="Arial"/>
                <w:b/>
                <w:sz w:val="18"/>
                <w:lang w:val="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6</w:t>
            </w:r>
          </w:p>
        </w:tc>
        <w:tc>
          <w:tcPr>
            <w:tcW w:w="1606" w:type="dxa"/>
            <w:tcBorders>
              <w:top w:val="single" w:sz="2" w:space="0" w:color="BFBFBF" w:themeColor="background1" w:themeShade="BF"/>
              <w:bottom w:val="single" w:sz="2" w:space="0" w:color="BFBFBF" w:themeColor="background1" w:themeShade="BF"/>
              <w:right w:val="nil"/>
            </w:tcBorders>
            <w:vAlign w:val="center"/>
          </w:tcPr>
          <w:p w14:paraId="769901D8" w14:textId="02378843" w:rsidR="00330B40" w:rsidRPr="00330B40" w:rsidRDefault="00330B40" w:rsidP="001F1F41">
            <w:pPr>
              <w:jc w:val="center"/>
              <w:rPr>
                <w:rFonts w:ascii="Arial" w:hAnsi="Arial" w:cs="Arial"/>
                <w:b/>
                <w:sz w:val="18"/>
                <w:lang w:val="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5</w:t>
            </w:r>
          </w:p>
        </w:tc>
      </w:tr>
      <w:tr w:rsidR="00B95778" w14:paraId="35B74288" w14:textId="77777777" w:rsidTr="007077AF">
        <w:trPr>
          <w:trHeight w:val="256"/>
        </w:trPr>
        <w:tc>
          <w:tcPr>
            <w:tcW w:w="6240" w:type="dxa"/>
            <w:tcBorders>
              <w:top w:val="single" w:sz="2" w:space="0" w:color="BFBFBF" w:themeColor="background1" w:themeShade="BF"/>
              <w:right w:val="single" w:sz="2" w:space="0" w:color="BFBFBF" w:themeColor="background1" w:themeShade="BF"/>
            </w:tcBorders>
            <w:vAlign w:val="center"/>
          </w:tcPr>
          <w:p w14:paraId="72EF6A22" w14:textId="097F9CD0" w:rsidR="00B95778" w:rsidRPr="003B27F4" w:rsidRDefault="00B95778" w:rsidP="00B95778">
            <w:pPr>
              <w:jc w:val="both"/>
              <w:rPr>
                <w:rFonts w:ascii="Arial" w:hAnsi="Arial" w:cs="Arial"/>
                <w:sz w:val="18"/>
                <w:lang w:val="el-GR"/>
              </w:rPr>
            </w:pPr>
            <w:r w:rsidRPr="0049145A">
              <w:rPr>
                <w:rFonts w:ascii="Arial" w:hAnsi="Arial" w:cs="Arial"/>
                <w:spacing w:val="-2"/>
                <w:sz w:val="18"/>
                <w:lang w:val="el-GR"/>
              </w:rPr>
              <w:t>Καθαρές</w:t>
            </w:r>
            <w:r w:rsidRPr="0049145A">
              <w:rPr>
                <w:rFonts w:ascii="Arial" w:hAnsi="Arial" w:cs="Arial"/>
                <w:spacing w:val="-7"/>
                <w:sz w:val="18"/>
                <w:lang w:val="el-GR"/>
              </w:rPr>
              <w:t xml:space="preserve"> </w:t>
            </w:r>
            <w:r w:rsidRPr="0049145A">
              <w:rPr>
                <w:rFonts w:ascii="Arial" w:hAnsi="Arial" w:cs="Arial"/>
                <w:spacing w:val="-2"/>
                <w:sz w:val="18"/>
                <w:lang w:val="el-GR"/>
              </w:rPr>
              <w:t>ταμειακές</w:t>
            </w:r>
            <w:r w:rsidRPr="0049145A">
              <w:rPr>
                <w:rFonts w:ascii="Arial" w:hAnsi="Arial" w:cs="Arial"/>
                <w:spacing w:val="-5"/>
                <w:sz w:val="18"/>
                <w:lang w:val="el-GR"/>
              </w:rPr>
              <w:t xml:space="preserve"> </w:t>
            </w:r>
            <w:r w:rsidRPr="0049145A">
              <w:rPr>
                <w:rFonts w:ascii="Arial" w:hAnsi="Arial" w:cs="Arial"/>
                <w:spacing w:val="-2"/>
                <w:sz w:val="18"/>
                <w:lang w:val="el-GR"/>
              </w:rPr>
              <w:t>εισροές</w:t>
            </w:r>
            <w:r w:rsidRPr="0049145A">
              <w:rPr>
                <w:rFonts w:ascii="Arial" w:hAnsi="Arial" w:cs="Arial"/>
                <w:spacing w:val="-7"/>
                <w:sz w:val="18"/>
                <w:lang w:val="el-GR"/>
              </w:rPr>
              <w:t xml:space="preserve"> </w:t>
            </w:r>
            <w:r w:rsidRPr="0049145A">
              <w:rPr>
                <w:rFonts w:ascii="Arial" w:hAnsi="Arial" w:cs="Arial"/>
                <w:spacing w:val="-2"/>
                <w:sz w:val="18"/>
                <w:lang w:val="el-GR"/>
              </w:rPr>
              <w:t>από</w:t>
            </w:r>
            <w:r w:rsidRPr="0049145A">
              <w:rPr>
                <w:rFonts w:ascii="Arial" w:hAnsi="Arial" w:cs="Arial"/>
                <w:spacing w:val="-5"/>
                <w:sz w:val="18"/>
                <w:lang w:val="el-GR"/>
              </w:rPr>
              <w:t xml:space="preserve"> </w:t>
            </w:r>
            <w:r w:rsidRPr="0049145A">
              <w:rPr>
                <w:rFonts w:ascii="Arial" w:hAnsi="Arial" w:cs="Arial"/>
                <w:spacing w:val="-2"/>
                <w:sz w:val="18"/>
                <w:lang w:val="el-GR"/>
              </w:rPr>
              <w:t>λειτουργικές</w:t>
            </w:r>
            <w:r w:rsidRPr="0049145A">
              <w:rPr>
                <w:rFonts w:ascii="Arial" w:hAnsi="Arial" w:cs="Arial"/>
                <w:spacing w:val="-4"/>
                <w:sz w:val="18"/>
                <w:lang w:val="el-GR"/>
              </w:rPr>
              <w:t xml:space="preserve"> </w:t>
            </w:r>
            <w:r w:rsidRPr="0049145A">
              <w:rPr>
                <w:rFonts w:ascii="Arial" w:hAnsi="Arial" w:cs="Arial"/>
                <w:spacing w:val="-2"/>
                <w:sz w:val="18"/>
                <w:lang w:val="el-GR"/>
              </w:rPr>
              <w:t>δραστηριότητες</w:t>
            </w:r>
          </w:p>
        </w:tc>
        <w:tc>
          <w:tcPr>
            <w:tcW w:w="2602" w:type="dxa"/>
            <w:tcBorders>
              <w:top w:val="single" w:sz="2" w:space="0" w:color="BFBFBF" w:themeColor="background1" w:themeShade="BF"/>
              <w:left w:val="single" w:sz="2" w:space="0" w:color="BFBFBF" w:themeColor="background1" w:themeShade="BF"/>
            </w:tcBorders>
            <w:vAlign w:val="center"/>
          </w:tcPr>
          <w:p w14:paraId="65C78FB0" w14:textId="5004E2DE"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180</w:t>
            </w:r>
            <w:r w:rsidR="00BD40C3">
              <w:rPr>
                <w:rFonts w:ascii="Arial" w:hAnsi="Arial" w:cs="Arial"/>
                <w:sz w:val="18"/>
                <w:szCs w:val="18"/>
              </w:rPr>
              <w:t>,</w:t>
            </w:r>
            <w:r w:rsidRPr="005864AC">
              <w:rPr>
                <w:rFonts w:ascii="Arial" w:hAnsi="Arial" w:cs="Arial"/>
                <w:sz w:val="18"/>
                <w:szCs w:val="18"/>
              </w:rPr>
              <w:t xml:space="preserve">2 </w:t>
            </w:r>
          </w:p>
        </w:tc>
        <w:tc>
          <w:tcPr>
            <w:tcW w:w="1606" w:type="dxa"/>
            <w:tcBorders>
              <w:top w:val="single" w:sz="2" w:space="0" w:color="BFBFBF" w:themeColor="background1" w:themeShade="BF"/>
              <w:right w:val="nil"/>
            </w:tcBorders>
            <w:vAlign w:val="center"/>
          </w:tcPr>
          <w:p w14:paraId="33E03E29" w14:textId="5E68D793"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235</w:t>
            </w:r>
            <w:r w:rsidR="00BD40C3">
              <w:rPr>
                <w:rFonts w:ascii="Arial" w:hAnsi="Arial" w:cs="Arial"/>
                <w:sz w:val="18"/>
                <w:szCs w:val="18"/>
              </w:rPr>
              <w:t>,</w:t>
            </w:r>
            <w:r w:rsidRPr="005864AC">
              <w:rPr>
                <w:rFonts w:ascii="Arial" w:hAnsi="Arial" w:cs="Arial"/>
                <w:sz w:val="18"/>
                <w:szCs w:val="18"/>
              </w:rPr>
              <w:t xml:space="preserve">9 </w:t>
            </w:r>
          </w:p>
        </w:tc>
      </w:tr>
      <w:tr w:rsidR="00B95778" w14:paraId="6D28A823" w14:textId="77777777" w:rsidTr="007077AF">
        <w:trPr>
          <w:trHeight w:val="256"/>
        </w:trPr>
        <w:tc>
          <w:tcPr>
            <w:tcW w:w="6240" w:type="dxa"/>
            <w:tcBorders>
              <w:top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2801BC5" w14:textId="0FDCF1EC" w:rsidR="00B95778" w:rsidRPr="003B27F4" w:rsidRDefault="00B95778" w:rsidP="00B95778">
            <w:pPr>
              <w:jc w:val="both"/>
              <w:rPr>
                <w:rFonts w:ascii="Arial" w:hAnsi="Arial" w:cs="Arial"/>
                <w:sz w:val="18"/>
                <w:lang w:val="el-GR"/>
              </w:rPr>
            </w:pPr>
            <w:r>
              <w:rPr>
                <w:rFonts w:ascii="Arial" w:hAnsi="Arial" w:cs="Arial"/>
                <w:spacing w:val="-2"/>
                <w:sz w:val="18"/>
                <w:lang w:val="el-GR"/>
              </w:rPr>
              <w:t>Μείον</w:t>
            </w:r>
            <w:r w:rsidRPr="00F82DE5">
              <w:rPr>
                <w:rFonts w:ascii="Arial" w:hAnsi="Arial" w:cs="Arial"/>
                <w:spacing w:val="-2"/>
                <w:sz w:val="18"/>
                <w:lang w:val="el-GR"/>
              </w:rPr>
              <w:t xml:space="preserve">: </w:t>
            </w:r>
            <w:r w:rsidRPr="0049145A">
              <w:rPr>
                <w:rFonts w:ascii="Arial" w:hAnsi="Arial" w:cs="Arial"/>
                <w:spacing w:val="-2"/>
                <w:sz w:val="18"/>
                <w:lang w:val="el-GR"/>
              </w:rPr>
              <w:t>Καθαρές</w:t>
            </w:r>
            <w:r w:rsidRPr="0049145A">
              <w:rPr>
                <w:rFonts w:ascii="Arial" w:hAnsi="Arial" w:cs="Arial"/>
                <w:spacing w:val="-7"/>
                <w:sz w:val="18"/>
                <w:lang w:val="el-GR"/>
              </w:rPr>
              <w:t xml:space="preserve"> </w:t>
            </w:r>
            <w:r w:rsidRPr="0049145A">
              <w:rPr>
                <w:rFonts w:ascii="Arial" w:hAnsi="Arial" w:cs="Arial"/>
                <w:spacing w:val="-2"/>
                <w:sz w:val="18"/>
                <w:lang w:val="el-GR"/>
              </w:rPr>
              <w:t>ταμειακές</w:t>
            </w:r>
            <w:r w:rsidRPr="0049145A">
              <w:rPr>
                <w:rFonts w:ascii="Arial" w:hAnsi="Arial" w:cs="Arial"/>
                <w:spacing w:val="-5"/>
                <w:sz w:val="18"/>
                <w:lang w:val="el-GR"/>
              </w:rPr>
              <w:t xml:space="preserve"> </w:t>
            </w:r>
            <w:r w:rsidRPr="0049145A">
              <w:rPr>
                <w:rFonts w:ascii="Arial" w:hAnsi="Arial" w:cs="Arial"/>
                <w:spacing w:val="-2"/>
                <w:sz w:val="18"/>
                <w:lang w:val="el-GR"/>
              </w:rPr>
              <w:t>εισροές</w:t>
            </w:r>
            <w:r w:rsidRPr="0049145A">
              <w:rPr>
                <w:rFonts w:ascii="Arial" w:hAnsi="Arial" w:cs="Arial"/>
                <w:spacing w:val="-7"/>
                <w:sz w:val="18"/>
                <w:lang w:val="el-GR"/>
              </w:rPr>
              <w:t xml:space="preserve"> </w:t>
            </w:r>
            <w:r w:rsidRPr="0049145A">
              <w:rPr>
                <w:rFonts w:ascii="Arial" w:hAnsi="Arial" w:cs="Arial"/>
                <w:spacing w:val="-2"/>
                <w:sz w:val="18"/>
                <w:lang w:val="el-GR"/>
              </w:rPr>
              <w:t>από</w:t>
            </w:r>
            <w:r w:rsidRPr="0049145A">
              <w:rPr>
                <w:rFonts w:ascii="Arial" w:hAnsi="Arial" w:cs="Arial"/>
                <w:spacing w:val="-5"/>
                <w:sz w:val="18"/>
                <w:lang w:val="el-GR"/>
              </w:rPr>
              <w:t xml:space="preserve"> </w:t>
            </w:r>
            <w:r w:rsidRPr="0049145A">
              <w:rPr>
                <w:rFonts w:ascii="Arial" w:hAnsi="Arial" w:cs="Arial"/>
                <w:spacing w:val="-2"/>
                <w:sz w:val="18"/>
                <w:lang w:val="el-GR"/>
              </w:rPr>
              <w:t>λειτουργικές</w:t>
            </w:r>
            <w:r w:rsidRPr="0049145A">
              <w:rPr>
                <w:rFonts w:ascii="Arial" w:hAnsi="Arial" w:cs="Arial"/>
                <w:spacing w:val="-4"/>
                <w:sz w:val="18"/>
                <w:lang w:val="el-GR"/>
              </w:rPr>
              <w:t xml:space="preserve"> </w:t>
            </w:r>
            <w:r w:rsidRPr="0049145A">
              <w:rPr>
                <w:rFonts w:ascii="Arial" w:hAnsi="Arial" w:cs="Arial"/>
                <w:spacing w:val="-2"/>
                <w:sz w:val="18"/>
                <w:lang w:val="el-GR"/>
              </w:rPr>
              <w:t>δραστηριότητες</w:t>
            </w:r>
            <w:r>
              <w:rPr>
                <w:rFonts w:ascii="Arial" w:hAnsi="Arial" w:cs="Arial"/>
                <w:spacing w:val="-2"/>
                <w:sz w:val="18"/>
                <w:lang w:val="el-GR"/>
              </w:rPr>
              <w:t xml:space="preserve"> διακοπεισών δραστηριοτήτων</w:t>
            </w:r>
          </w:p>
        </w:tc>
        <w:tc>
          <w:tcPr>
            <w:tcW w:w="2602" w:type="dxa"/>
            <w:tcBorders>
              <w:top w:val="single" w:sz="2" w:space="0" w:color="BFBFBF" w:themeColor="background1" w:themeShade="BF"/>
              <w:left w:val="single" w:sz="2" w:space="0" w:color="BFBFBF" w:themeColor="background1" w:themeShade="BF"/>
            </w:tcBorders>
            <w:shd w:val="clear" w:color="auto" w:fill="F2F2F2" w:themeFill="background1" w:themeFillShade="F2"/>
            <w:vAlign w:val="center"/>
          </w:tcPr>
          <w:p w14:paraId="17B62F88" w14:textId="736E9976" w:rsidR="00B95778" w:rsidRPr="00FE39BF" w:rsidRDefault="00B95778" w:rsidP="00B95778">
            <w:pPr>
              <w:jc w:val="center"/>
              <w:rPr>
                <w:rFonts w:ascii="Arial" w:hAnsi="Arial" w:cs="Arial"/>
                <w:color w:val="FF0000"/>
                <w:sz w:val="18"/>
                <w:szCs w:val="18"/>
                <w:lang w:val="el-GR"/>
              </w:rPr>
            </w:pPr>
          </w:p>
        </w:tc>
        <w:tc>
          <w:tcPr>
            <w:tcW w:w="1606" w:type="dxa"/>
            <w:tcBorders>
              <w:top w:val="single" w:sz="2" w:space="0" w:color="BFBFBF" w:themeColor="background1" w:themeShade="BF"/>
              <w:right w:val="nil"/>
            </w:tcBorders>
            <w:shd w:val="clear" w:color="auto" w:fill="F2F2F2" w:themeFill="background1" w:themeFillShade="F2"/>
            <w:vAlign w:val="center"/>
          </w:tcPr>
          <w:p w14:paraId="434A3B83" w14:textId="1636310D" w:rsidR="00B95778" w:rsidRPr="001765A2" w:rsidRDefault="00B95778" w:rsidP="00B95778">
            <w:pPr>
              <w:jc w:val="center"/>
              <w:rPr>
                <w:rFonts w:ascii="Arial" w:hAnsi="Arial" w:cs="Arial"/>
                <w:color w:val="FF0000"/>
                <w:sz w:val="18"/>
                <w:szCs w:val="18"/>
              </w:rPr>
            </w:pPr>
            <w:r>
              <w:rPr>
                <w:rFonts w:ascii="Arial" w:hAnsi="Arial" w:cs="Arial"/>
                <w:sz w:val="18"/>
                <w:szCs w:val="18"/>
              </w:rPr>
              <w:t>3</w:t>
            </w:r>
            <w:r w:rsidR="00BD40C3">
              <w:rPr>
                <w:rFonts w:ascii="Arial" w:hAnsi="Arial" w:cs="Arial"/>
                <w:sz w:val="18"/>
                <w:szCs w:val="18"/>
              </w:rPr>
              <w:t>,</w:t>
            </w:r>
            <w:r>
              <w:rPr>
                <w:rFonts w:ascii="Arial" w:hAnsi="Arial" w:cs="Arial"/>
                <w:sz w:val="18"/>
                <w:szCs w:val="18"/>
              </w:rPr>
              <w:t>2</w:t>
            </w:r>
          </w:p>
        </w:tc>
      </w:tr>
      <w:tr w:rsidR="00B95778" w14:paraId="4D989FC4" w14:textId="77777777" w:rsidTr="007077AF">
        <w:trPr>
          <w:trHeight w:val="256"/>
        </w:trPr>
        <w:tc>
          <w:tcPr>
            <w:tcW w:w="6240" w:type="dxa"/>
            <w:tcBorders>
              <w:right w:val="single" w:sz="2" w:space="0" w:color="BFBFBF" w:themeColor="background1" w:themeShade="BF"/>
            </w:tcBorders>
            <w:vAlign w:val="center"/>
          </w:tcPr>
          <w:p w14:paraId="4BC73708" w14:textId="36F470D8" w:rsidR="00B95778" w:rsidRPr="003B27F4" w:rsidRDefault="00B95778" w:rsidP="00B95778">
            <w:pPr>
              <w:jc w:val="both"/>
              <w:rPr>
                <w:rFonts w:ascii="Arial" w:hAnsi="Arial" w:cs="Arial"/>
                <w:sz w:val="18"/>
                <w:lang w:val="el-GR"/>
              </w:rPr>
            </w:pPr>
            <w:r w:rsidRPr="0049145A">
              <w:rPr>
                <w:rFonts w:ascii="Arial" w:hAnsi="Arial" w:cs="Arial"/>
                <w:spacing w:val="-2"/>
                <w:sz w:val="18"/>
                <w:lang w:val="el-GR"/>
              </w:rPr>
              <w:t>Αγορά</w:t>
            </w:r>
            <w:r w:rsidRPr="0049145A">
              <w:rPr>
                <w:rFonts w:ascii="Arial" w:hAnsi="Arial" w:cs="Arial"/>
                <w:spacing w:val="-6"/>
                <w:sz w:val="18"/>
                <w:lang w:val="el-GR"/>
              </w:rPr>
              <w:t xml:space="preserve"> </w:t>
            </w:r>
            <w:r w:rsidRPr="0049145A">
              <w:rPr>
                <w:rFonts w:ascii="Arial" w:hAnsi="Arial" w:cs="Arial"/>
                <w:spacing w:val="-2"/>
                <w:sz w:val="18"/>
                <w:lang w:val="el-GR"/>
              </w:rPr>
              <w:t>ενσώματων</w:t>
            </w:r>
            <w:r w:rsidRPr="0049145A">
              <w:rPr>
                <w:rFonts w:ascii="Arial" w:hAnsi="Arial" w:cs="Arial"/>
                <w:spacing w:val="-5"/>
                <w:sz w:val="18"/>
                <w:lang w:val="el-GR"/>
              </w:rPr>
              <w:t xml:space="preserve"> </w:t>
            </w:r>
            <w:r w:rsidRPr="0049145A">
              <w:rPr>
                <w:rFonts w:ascii="Arial" w:hAnsi="Arial" w:cs="Arial"/>
                <w:spacing w:val="-2"/>
                <w:sz w:val="18"/>
                <w:lang w:val="el-GR"/>
              </w:rPr>
              <w:t>και</w:t>
            </w:r>
            <w:r w:rsidRPr="0049145A">
              <w:rPr>
                <w:rFonts w:ascii="Arial" w:hAnsi="Arial" w:cs="Arial"/>
                <w:spacing w:val="-5"/>
                <w:sz w:val="18"/>
                <w:lang w:val="el-GR"/>
              </w:rPr>
              <w:t xml:space="preserve"> </w:t>
            </w:r>
            <w:r w:rsidRPr="0049145A">
              <w:rPr>
                <w:rFonts w:ascii="Arial" w:hAnsi="Arial" w:cs="Arial"/>
                <w:spacing w:val="-2"/>
                <w:sz w:val="18"/>
                <w:lang w:val="el-GR"/>
              </w:rPr>
              <w:t>άυλων</w:t>
            </w:r>
            <w:r w:rsidRPr="0049145A">
              <w:rPr>
                <w:rFonts w:ascii="Arial" w:hAnsi="Arial" w:cs="Arial"/>
                <w:spacing w:val="-6"/>
                <w:sz w:val="18"/>
                <w:lang w:val="el-GR"/>
              </w:rPr>
              <w:t xml:space="preserve"> </w:t>
            </w:r>
            <w:r w:rsidRPr="0049145A">
              <w:rPr>
                <w:rFonts w:ascii="Arial" w:hAnsi="Arial" w:cs="Arial"/>
                <w:spacing w:val="-2"/>
                <w:sz w:val="18"/>
                <w:lang w:val="el-GR"/>
              </w:rPr>
              <w:t>παγίων</w:t>
            </w:r>
            <w:r w:rsidRPr="0049145A">
              <w:rPr>
                <w:rFonts w:ascii="Arial" w:hAnsi="Arial" w:cs="Arial"/>
                <w:spacing w:val="-5"/>
                <w:sz w:val="18"/>
                <w:lang w:val="el-GR"/>
              </w:rPr>
              <w:t xml:space="preserve"> </w:t>
            </w:r>
            <w:r w:rsidRPr="0049145A">
              <w:rPr>
                <w:rFonts w:ascii="Arial" w:hAnsi="Arial" w:cs="Arial"/>
                <w:spacing w:val="-2"/>
                <w:sz w:val="18"/>
                <w:lang w:val="el-GR"/>
              </w:rPr>
              <w:t>περιουσιακών</w:t>
            </w:r>
            <w:r w:rsidRPr="0049145A">
              <w:rPr>
                <w:rFonts w:ascii="Arial" w:hAnsi="Arial" w:cs="Arial"/>
                <w:spacing w:val="-5"/>
                <w:sz w:val="18"/>
                <w:lang w:val="el-GR"/>
              </w:rPr>
              <w:t xml:space="preserve"> </w:t>
            </w:r>
            <w:r w:rsidRPr="0049145A">
              <w:rPr>
                <w:rFonts w:ascii="Arial" w:hAnsi="Arial" w:cs="Arial"/>
                <w:spacing w:val="-2"/>
                <w:sz w:val="18"/>
                <w:lang w:val="el-GR"/>
              </w:rPr>
              <w:t>στοιχείων</w:t>
            </w:r>
          </w:p>
        </w:tc>
        <w:tc>
          <w:tcPr>
            <w:tcW w:w="2602" w:type="dxa"/>
            <w:tcBorders>
              <w:left w:val="single" w:sz="2" w:space="0" w:color="BFBFBF" w:themeColor="background1" w:themeShade="BF"/>
            </w:tcBorders>
            <w:vAlign w:val="center"/>
          </w:tcPr>
          <w:p w14:paraId="34971289" w14:textId="1C658CFB"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(108</w:t>
            </w:r>
            <w:r w:rsidR="00BD40C3">
              <w:rPr>
                <w:rFonts w:ascii="Arial" w:hAnsi="Arial" w:cs="Arial"/>
                <w:sz w:val="18"/>
                <w:szCs w:val="18"/>
              </w:rPr>
              <w:t>,</w:t>
            </w:r>
            <w:r w:rsidRPr="005864AC">
              <w:rPr>
                <w:rFonts w:ascii="Arial" w:hAnsi="Arial" w:cs="Arial"/>
                <w:sz w:val="18"/>
                <w:szCs w:val="18"/>
              </w:rPr>
              <w:t>5)</w:t>
            </w:r>
          </w:p>
        </w:tc>
        <w:tc>
          <w:tcPr>
            <w:tcW w:w="1606" w:type="dxa"/>
            <w:tcBorders>
              <w:right w:val="nil"/>
            </w:tcBorders>
            <w:vAlign w:val="center"/>
          </w:tcPr>
          <w:p w14:paraId="22AEE970" w14:textId="2CEE1ADC"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(117</w:t>
            </w:r>
            <w:r w:rsidR="00BD40C3">
              <w:rPr>
                <w:rFonts w:ascii="Arial" w:hAnsi="Arial" w:cs="Arial"/>
                <w:sz w:val="18"/>
                <w:szCs w:val="18"/>
              </w:rPr>
              <w:t>,</w:t>
            </w:r>
            <w:r w:rsidRPr="005864AC">
              <w:rPr>
                <w:rFonts w:ascii="Arial" w:hAnsi="Arial" w:cs="Arial"/>
                <w:sz w:val="18"/>
                <w:szCs w:val="18"/>
              </w:rPr>
              <w:t>4)</w:t>
            </w:r>
          </w:p>
        </w:tc>
      </w:tr>
      <w:tr w:rsidR="00B95778" w14:paraId="6BCF7019" w14:textId="77777777" w:rsidTr="007077AF">
        <w:trPr>
          <w:trHeight w:val="256"/>
        </w:trPr>
        <w:tc>
          <w:tcPr>
            <w:tcW w:w="6240" w:type="dxa"/>
            <w:tcBorders>
              <w:right w:val="single" w:sz="2" w:space="0" w:color="BFBFBF" w:themeColor="background1" w:themeShade="BF"/>
            </w:tcBorders>
            <w:vAlign w:val="center"/>
          </w:tcPr>
          <w:p w14:paraId="7336075B" w14:textId="3C533E2E" w:rsidR="00B95778" w:rsidRPr="00047C99" w:rsidRDefault="00B95778" w:rsidP="00B95778">
            <w:pPr>
              <w:jc w:val="both"/>
              <w:rPr>
                <w:rFonts w:ascii="Arial" w:hAnsi="Arial" w:cs="Arial"/>
                <w:sz w:val="18"/>
              </w:rPr>
            </w:pPr>
            <w:r w:rsidRPr="0049145A">
              <w:rPr>
                <w:rFonts w:ascii="Arial" w:hAnsi="Arial" w:cs="Arial"/>
                <w:spacing w:val="-2"/>
                <w:sz w:val="18"/>
              </w:rPr>
              <w:t>Πιστωτικοί</w:t>
            </w:r>
            <w:r w:rsidRPr="0049145A">
              <w:rPr>
                <w:rFonts w:ascii="Arial" w:hAnsi="Arial" w:cs="Arial"/>
                <w:spacing w:val="-7"/>
                <w:sz w:val="18"/>
              </w:rPr>
              <w:t xml:space="preserve"> </w:t>
            </w:r>
            <w:r w:rsidRPr="0049145A">
              <w:rPr>
                <w:rFonts w:ascii="Arial" w:hAnsi="Arial" w:cs="Arial"/>
                <w:spacing w:val="-2"/>
                <w:sz w:val="18"/>
              </w:rPr>
              <w:t>τόκοι</w:t>
            </w:r>
            <w:r w:rsidRPr="0049145A">
              <w:rPr>
                <w:rFonts w:ascii="Arial" w:hAnsi="Arial" w:cs="Arial"/>
                <w:spacing w:val="-7"/>
                <w:sz w:val="18"/>
              </w:rPr>
              <w:t xml:space="preserve"> </w:t>
            </w:r>
            <w:r w:rsidRPr="0049145A">
              <w:rPr>
                <w:rFonts w:ascii="Arial" w:hAnsi="Arial" w:cs="Arial"/>
                <w:spacing w:val="-2"/>
                <w:sz w:val="18"/>
              </w:rPr>
              <w:t>εισπραχθέντες</w:t>
            </w:r>
          </w:p>
        </w:tc>
        <w:tc>
          <w:tcPr>
            <w:tcW w:w="2602" w:type="dxa"/>
            <w:tcBorders>
              <w:left w:val="single" w:sz="2" w:space="0" w:color="BFBFBF" w:themeColor="background1" w:themeShade="BF"/>
            </w:tcBorders>
            <w:vAlign w:val="center"/>
          </w:tcPr>
          <w:p w14:paraId="7AC51023" w14:textId="3D07EC60"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w:t>
            </w:r>
            <w:r w:rsidR="00BD40C3">
              <w:rPr>
                <w:rFonts w:ascii="Arial" w:hAnsi="Arial" w:cs="Arial"/>
                <w:sz w:val="18"/>
                <w:szCs w:val="18"/>
              </w:rPr>
              <w:t>,</w:t>
            </w:r>
            <w:r w:rsidRPr="005864AC">
              <w:rPr>
                <w:rFonts w:ascii="Arial" w:hAnsi="Arial" w:cs="Arial"/>
                <w:sz w:val="18"/>
                <w:szCs w:val="18"/>
              </w:rPr>
              <w:t xml:space="preserve">6 </w:t>
            </w:r>
          </w:p>
        </w:tc>
        <w:tc>
          <w:tcPr>
            <w:tcW w:w="1606" w:type="dxa"/>
            <w:tcBorders>
              <w:right w:val="nil"/>
            </w:tcBorders>
            <w:vAlign w:val="center"/>
          </w:tcPr>
          <w:p w14:paraId="75090613" w14:textId="577A9560"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2</w:t>
            </w:r>
            <w:r w:rsidR="00BD40C3">
              <w:rPr>
                <w:rFonts w:ascii="Arial" w:hAnsi="Arial" w:cs="Arial"/>
                <w:sz w:val="18"/>
                <w:szCs w:val="18"/>
              </w:rPr>
              <w:t>,</w:t>
            </w:r>
            <w:r w:rsidRPr="005864AC">
              <w:rPr>
                <w:rFonts w:ascii="Arial" w:hAnsi="Arial" w:cs="Arial"/>
                <w:sz w:val="18"/>
                <w:szCs w:val="18"/>
              </w:rPr>
              <w:t xml:space="preserve">4 </w:t>
            </w:r>
          </w:p>
        </w:tc>
      </w:tr>
      <w:tr w:rsidR="00B95778" w14:paraId="32F03833" w14:textId="77777777" w:rsidTr="007077AF">
        <w:trPr>
          <w:trHeight w:val="256"/>
        </w:trPr>
        <w:tc>
          <w:tcPr>
            <w:tcW w:w="6240" w:type="dxa"/>
            <w:tcBorders>
              <w:right w:val="single" w:sz="2" w:space="0" w:color="BFBFBF" w:themeColor="background1" w:themeShade="BF"/>
            </w:tcBorders>
            <w:vAlign w:val="center"/>
          </w:tcPr>
          <w:p w14:paraId="100C5DFB" w14:textId="75FC9447" w:rsidR="00B95778" w:rsidRPr="00047C99" w:rsidRDefault="00B95778" w:rsidP="00B95778">
            <w:pPr>
              <w:jc w:val="both"/>
              <w:rPr>
                <w:rFonts w:ascii="Arial" w:hAnsi="Arial" w:cs="Arial"/>
                <w:b/>
                <w:sz w:val="18"/>
              </w:rPr>
            </w:pPr>
            <w:r w:rsidRPr="0049145A">
              <w:rPr>
                <w:rFonts w:ascii="Arial" w:hAnsi="Arial" w:cs="Arial"/>
                <w:b/>
                <w:bCs/>
                <w:spacing w:val="-2"/>
                <w:sz w:val="18"/>
              </w:rPr>
              <w:t>Ελεύθερες</w:t>
            </w:r>
            <w:r w:rsidRPr="0049145A">
              <w:rPr>
                <w:rFonts w:ascii="Arial" w:hAnsi="Arial" w:cs="Arial"/>
                <w:b/>
                <w:bCs/>
                <w:spacing w:val="-7"/>
                <w:sz w:val="18"/>
              </w:rPr>
              <w:t xml:space="preserve"> </w:t>
            </w:r>
            <w:r w:rsidRPr="0049145A">
              <w:rPr>
                <w:rFonts w:ascii="Arial" w:hAnsi="Arial" w:cs="Arial"/>
                <w:b/>
                <w:bCs/>
                <w:spacing w:val="-2"/>
                <w:sz w:val="18"/>
              </w:rPr>
              <w:t>Ταμειακές</w:t>
            </w:r>
            <w:r w:rsidRPr="0049145A">
              <w:rPr>
                <w:rFonts w:ascii="Arial" w:hAnsi="Arial" w:cs="Arial"/>
                <w:b/>
                <w:bCs/>
                <w:spacing w:val="-4"/>
                <w:sz w:val="18"/>
              </w:rPr>
              <w:t xml:space="preserve"> Ροές</w:t>
            </w:r>
          </w:p>
        </w:tc>
        <w:tc>
          <w:tcPr>
            <w:tcW w:w="2602" w:type="dxa"/>
            <w:tcBorders>
              <w:left w:val="single" w:sz="2" w:space="0" w:color="BFBFBF" w:themeColor="background1" w:themeShade="BF"/>
            </w:tcBorders>
            <w:vAlign w:val="center"/>
          </w:tcPr>
          <w:p w14:paraId="457E1311" w14:textId="5B2EF064"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73</w:t>
            </w:r>
            <w:r w:rsidR="00BD40C3">
              <w:rPr>
                <w:rFonts w:ascii="Arial" w:hAnsi="Arial" w:cs="Arial"/>
                <w:b/>
                <w:bCs/>
                <w:sz w:val="18"/>
                <w:szCs w:val="18"/>
              </w:rPr>
              <w:t>,</w:t>
            </w:r>
            <w:r w:rsidRPr="005864AC">
              <w:rPr>
                <w:rFonts w:ascii="Arial" w:hAnsi="Arial" w:cs="Arial"/>
                <w:b/>
                <w:bCs/>
                <w:sz w:val="18"/>
                <w:szCs w:val="18"/>
              </w:rPr>
              <w:t xml:space="preserve">3 </w:t>
            </w:r>
          </w:p>
        </w:tc>
        <w:tc>
          <w:tcPr>
            <w:tcW w:w="1606" w:type="dxa"/>
            <w:tcBorders>
              <w:right w:val="nil"/>
            </w:tcBorders>
            <w:vAlign w:val="center"/>
          </w:tcPr>
          <w:p w14:paraId="10AE4573" w14:textId="65772BDC"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117</w:t>
            </w:r>
            <w:r w:rsidR="00BD40C3">
              <w:rPr>
                <w:rFonts w:ascii="Arial" w:hAnsi="Arial" w:cs="Arial"/>
                <w:b/>
                <w:bCs/>
                <w:sz w:val="18"/>
                <w:szCs w:val="18"/>
              </w:rPr>
              <w:t>,</w:t>
            </w:r>
            <w:r w:rsidRPr="005864AC">
              <w:rPr>
                <w:rFonts w:ascii="Arial" w:hAnsi="Arial" w:cs="Arial"/>
                <w:b/>
                <w:bCs/>
                <w:sz w:val="18"/>
                <w:szCs w:val="18"/>
              </w:rPr>
              <w:t xml:space="preserve">7 </w:t>
            </w:r>
          </w:p>
        </w:tc>
      </w:tr>
      <w:tr w:rsidR="00B95778" w14:paraId="2168A39D" w14:textId="77777777" w:rsidTr="007077AF">
        <w:trPr>
          <w:trHeight w:val="256"/>
        </w:trPr>
        <w:tc>
          <w:tcPr>
            <w:tcW w:w="6240" w:type="dxa"/>
            <w:tcBorders>
              <w:right w:val="single" w:sz="2" w:space="0" w:color="BFBFBF" w:themeColor="background1" w:themeShade="BF"/>
            </w:tcBorders>
            <w:vAlign w:val="center"/>
          </w:tcPr>
          <w:p w14:paraId="44A8D2B2" w14:textId="7C3F2296" w:rsidR="00B95778" w:rsidRPr="00047C99" w:rsidRDefault="00B95778" w:rsidP="00B95778">
            <w:pPr>
              <w:jc w:val="both"/>
              <w:rPr>
                <w:rFonts w:ascii="Arial" w:hAnsi="Arial" w:cs="Arial"/>
                <w:sz w:val="18"/>
              </w:rPr>
            </w:pPr>
            <w:r w:rsidRPr="0049145A">
              <w:rPr>
                <w:rFonts w:ascii="Arial" w:hAnsi="Arial" w:cs="Arial"/>
                <w:spacing w:val="-2"/>
                <w:sz w:val="18"/>
              </w:rPr>
              <w:t>Αποπληρωμή</w:t>
            </w:r>
            <w:r w:rsidRPr="0049145A">
              <w:rPr>
                <w:rFonts w:ascii="Arial" w:hAnsi="Arial" w:cs="Arial"/>
                <w:spacing w:val="-7"/>
                <w:sz w:val="18"/>
              </w:rPr>
              <w:t xml:space="preserve"> </w:t>
            </w:r>
            <w:r w:rsidRPr="0049145A">
              <w:rPr>
                <w:rFonts w:ascii="Arial" w:hAnsi="Arial" w:cs="Arial"/>
                <w:spacing w:val="-2"/>
                <w:sz w:val="18"/>
              </w:rPr>
              <w:t>υποχρεώσεων</w:t>
            </w:r>
            <w:r w:rsidRPr="0049145A">
              <w:rPr>
                <w:rFonts w:ascii="Arial" w:hAnsi="Arial" w:cs="Arial"/>
                <w:spacing w:val="-6"/>
                <w:sz w:val="18"/>
              </w:rPr>
              <w:t xml:space="preserve"> </w:t>
            </w:r>
            <w:r w:rsidRPr="0049145A">
              <w:rPr>
                <w:rFonts w:ascii="Arial" w:hAnsi="Arial" w:cs="Arial"/>
                <w:spacing w:val="-2"/>
                <w:sz w:val="18"/>
              </w:rPr>
              <w:t>από</w:t>
            </w:r>
            <w:r w:rsidRPr="0049145A">
              <w:rPr>
                <w:rFonts w:ascii="Arial" w:hAnsi="Arial" w:cs="Arial"/>
                <w:spacing w:val="-4"/>
                <w:sz w:val="18"/>
              </w:rPr>
              <w:t xml:space="preserve"> </w:t>
            </w:r>
            <w:r w:rsidRPr="0049145A">
              <w:rPr>
                <w:rFonts w:ascii="Arial" w:hAnsi="Arial" w:cs="Arial"/>
                <w:spacing w:val="-2"/>
                <w:sz w:val="18"/>
              </w:rPr>
              <w:t>μισθώσεις</w:t>
            </w:r>
          </w:p>
        </w:tc>
        <w:tc>
          <w:tcPr>
            <w:tcW w:w="2602" w:type="dxa"/>
            <w:tcBorders>
              <w:left w:val="single" w:sz="2" w:space="0" w:color="BFBFBF" w:themeColor="background1" w:themeShade="BF"/>
            </w:tcBorders>
            <w:vAlign w:val="center"/>
          </w:tcPr>
          <w:p w14:paraId="1BA7CC29" w14:textId="04E21AF6"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(12</w:t>
            </w:r>
            <w:r w:rsidR="00BD40C3">
              <w:rPr>
                <w:rFonts w:ascii="Arial" w:hAnsi="Arial" w:cs="Arial"/>
                <w:sz w:val="18"/>
                <w:szCs w:val="18"/>
              </w:rPr>
              <w:t>,</w:t>
            </w:r>
            <w:r w:rsidRPr="005864AC">
              <w:rPr>
                <w:rFonts w:ascii="Arial" w:hAnsi="Arial" w:cs="Arial"/>
                <w:sz w:val="18"/>
                <w:szCs w:val="18"/>
              </w:rPr>
              <w:t>9)</w:t>
            </w:r>
          </w:p>
        </w:tc>
        <w:tc>
          <w:tcPr>
            <w:tcW w:w="1606" w:type="dxa"/>
            <w:tcBorders>
              <w:right w:val="nil"/>
            </w:tcBorders>
            <w:vAlign w:val="center"/>
          </w:tcPr>
          <w:p w14:paraId="0F4FFE0A" w14:textId="7EFF38E1"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(11</w:t>
            </w:r>
            <w:r w:rsidR="00BD40C3">
              <w:rPr>
                <w:rFonts w:ascii="Arial" w:hAnsi="Arial" w:cs="Arial"/>
                <w:sz w:val="18"/>
                <w:szCs w:val="18"/>
              </w:rPr>
              <w:t>,</w:t>
            </w:r>
            <w:r w:rsidRPr="005864AC">
              <w:rPr>
                <w:rFonts w:ascii="Arial" w:hAnsi="Arial" w:cs="Arial"/>
                <w:sz w:val="18"/>
                <w:szCs w:val="18"/>
              </w:rPr>
              <w:t>5)</w:t>
            </w:r>
          </w:p>
        </w:tc>
      </w:tr>
      <w:tr w:rsidR="00B95778" w14:paraId="7DE4EC2B" w14:textId="77777777" w:rsidTr="007077AF">
        <w:trPr>
          <w:trHeight w:val="256"/>
        </w:trPr>
        <w:tc>
          <w:tcPr>
            <w:tcW w:w="6240" w:type="dxa"/>
            <w:tcBorders>
              <w:right w:val="single" w:sz="2" w:space="0" w:color="BFBFBF" w:themeColor="background1" w:themeShade="BF"/>
            </w:tcBorders>
            <w:vAlign w:val="center"/>
          </w:tcPr>
          <w:p w14:paraId="46598FDB" w14:textId="66EC65E5" w:rsidR="00B95778" w:rsidRPr="00040471" w:rsidRDefault="00B95778" w:rsidP="00B95778">
            <w:pPr>
              <w:jc w:val="both"/>
              <w:rPr>
                <w:rFonts w:ascii="Arial" w:hAnsi="Arial" w:cs="Arial"/>
                <w:b/>
                <w:sz w:val="18"/>
                <w:lang w:val="el-GR"/>
              </w:rPr>
            </w:pPr>
            <w:r w:rsidRPr="0049145A">
              <w:rPr>
                <w:rFonts w:ascii="Arial" w:hAnsi="Arial" w:cs="Arial"/>
                <w:b/>
                <w:bCs/>
                <w:spacing w:val="-2"/>
                <w:sz w:val="18"/>
                <w:lang w:val="el-GR"/>
              </w:rPr>
              <w:t>Ελεύθερες</w:t>
            </w:r>
            <w:r w:rsidRPr="0049145A">
              <w:rPr>
                <w:rFonts w:ascii="Arial" w:hAnsi="Arial" w:cs="Arial"/>
                <w:b/>
                <w:bCs/>
                <w:spacing w:val="-5"/>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4"/>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4"/>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 μισθώσεις</w:t>
            </w:r>
            <w:r w:rsidRPr="0049145A">
              <w:rPr>
                <w:rFonts w:ascii="Arial" w:hAnsi="Arial" w:cs="Arial"/>
                <w:b/>
                <w:bCs/>
                <w:spacing w:val="-4"/>
                <w:sz w:val="18"/>
                <w:lang w:val="el-GR"/>
              </w:rPr>
              <w:t xml:space="preserve"> (</w:t>
            </w:r>
            <w:r w:rsidRPr="0049145A">
              <w:rPr>
                <w:rFonts w:ascii="Arial" w:hAnsi="Arial" w:cs="Arial"/>
                <w:b/>
                <w:bCs/>
                <w:spacing w:val="-4"/>
                <w:sz w:val="18"/>
              </w:rPr>
              <w:t>AL</w:t>
            </w:r>
            <w:r w:rsidRPr="0049145A">
              <w:rPr>
                <w:rFonts w:ascii="Arial" w:hAnsi="Arial" w:cs="Arial"/>
                <w:b/>
                <w:bCs/>
                <w:spacing w:val="-4"/>
                <w:sz w:val="18"/>
                <w:lang w:val="el-GR"/>
              </w:rPr>
              <w:t>)</w:t>
            </w:r>
          </w:p>
        </w:tc>
        <w:tc>
          <w:tcPr>
            <w:tcW w:w="2602" w:type="dxa"/>
            <w:tcBorders>
              <w:left w:val="single" w:sz="2" w:space="0" w:color="BFBFBF" w:themeColor="background1" w:themeShade="BF"/>
            </w:tcBorders>
            <w:vAlign w:val="center"/>
          </w:tcPr>
          <w:p w14:paraId="74F0ABE2" w14:textId="566752C7"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60</w:t>
            </w:r>
            <w:r w:rsidR="00BD40C3">
              <w:rPr>
                <w:rFonts w:ascii="Arial" w:hAnsi="Arial" w:cs="Arial"/>
                <w:b/>
                <w:bCs/>
                <w:sz w:val="18"/>
                <w:szCs w:val="18"/>
              </w:rPr>
              <w:t>,</w:t>
            </w:r>
            <w:r w:rsidRPr="005864AC">
              <w:rPr>
                <w:rFonts w:ascii="Arial" w:hAnsi="Arial" w:cs="Arial"/>
                <w:b/>
                <w:bCs/>
                <w:sz w:val="18"/>
                <w:szCs w:val="18"/>
              </w:rPr>
              <w:t xml:space="preserve">4 </w:t>
            </w:r>
          </w:p>
        </w:tc>
        <w:tc>
          <w:tcPr>
            <w:tcW w:w="1606" w:type="dxa"/>
            <w:tcBorders>
              <w:right w:val="nil"/>
            </w:tcBorders>
            <w:vAlign w:val="center"/>
          </w:tcPr>
          <w:p w14:paraId="4FFEE972" w14:textId="1D5ED588"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106</w:t>
            </w:r>
            <w:r w:rsidR="00BD40C3">
              <w:rPr>
                <w:rFonts w:ascii="Arial" w:hAnsi="Arial" w:cs="Arial"/>
                <w:b/>
                <w:bCs/>
                <w:sz w:val="18"/>
                <w:szCs w:val="18"/>
              </w:rPr>
              <w:t>,</w:t>
            </w:r>
            <w:r w:rsidRPr="005864AC">
              <w:rPr>
                <w:rFonts w:ascii="Arial" w:hAnsi="Arial" w:cs="Arial"/>
                <w:b/>
                <w:bCs/>
                <w:sz w:val="18"/>
                <w:szCs w:val="18"/>
              </w:rPr>
              <w:t xml:space="preserve">2 </w:t>
            </w:r>
          </w:p>
        </w:tc>
      </w:tr>
      <w:tr w:rsidR="00B95778" w14:paraId="3CD5294D" w14:textId="77777777" w:rsidTr="007077AF">
        <w:trPr>
          <w:trHeight w:val="256"/>
        </w:trPr>
        <w:tc>
          <w:tcPr>
            <w:tcW w:w="6240" w:type="dxa"/>
            <w:tcBorders>
              <w:right w:val="single" w:sz="2" w:space="0" w:color="BFBFBF" w:themeColor="background1" w:themeShade="BF"/>
            </w:tcBorders>
            <w:vAlign w:val="center"/>
          </w:tcPr>
          <w:p w14:paraId="52453876" w14:textId="719F2554" w:rsidR="00B95778" w:rsidRPr="003B27F4" w:rsidRDefault="00B95778" w:rsidP="00B95778">
            <w:pPr>
              <w:jc w:val="both"/>
              <w:rPr>
                <w:rFonts w:ascii="Arial" w:hAnsi="Arial" w:cs="Arial"/>
                <w:sz w:val="18"/>
                <w:lang w:val="el-GR"/>
              </w:rPr>
            </w:pPr>
            <w:r w:rsidRPr="0049145A">
              <w:rPr>
                <w:rFonts w:ascii="Arial" w:hAnsi="Arial" w:cs="Arial"/>
                <w:spacing w:val="-2"/>
                <w:sz w:val="18"/>
              </w:rPr>
              <w:t>Καταβολές</w:t>
            </w:r>
            <w:r w:rsidRPr="0049145A">
              <w:rPr>
                <w:rFonts w:ascii="Arial" w:hAnsi="Arial" w:cs="Arial"/>
                <w:spacing w:val="-8"/>
                <w:sz w:val="18"/>
              </w:rPr>
              <w:t xml:space="preserve"> </w:t>
            </w:r>
            <w:r w:rsidRPr="0049145A">
              <w:rPr>
                <w:rFonts w:ascii="Arial" w:hAnsi="Arial" w:cs="Arial"/>
                <w:spacing w:val="-2"/>
                <w:sz w:val="18"/>
              </w:rPr>
              <w:t>προγραμμάτων</w:t>
            </w:r>
            <w:r w:rsidRPr="0049145A">
              <w:rPr>
                <w:rFonts w:ascii="Arial" w:hAnsi="Arial" w:cs="Arial"/>
                <w:spacing w:val="-7"/>
                <w:sz w:val="18"/>
              </w:rPr>
              <w:t xml:space="preserve"> </w:t>
            </w:r>
            <w:r w:rsidRPr="0049145A">
              <w:rPr>
                <w:rFonts w:ascii="Arial" w:hAnsi="Arial" w:cs="Arial"/>
                <w:spacing w:val="-2"/>
                <w:sz w:val="18"/>
              </w:rPr>
              <w:t>εθελούσιας</w:t>
            </w:r>
            <w:r w:rsidRPr="0049145A">
              <w:rPr>
                <w:rFonts w:ascii="Arial" w:hAnsi="Arial" w:cs="Arial"/>
                <w:spacing w:val="-7"/>
                <w:sz w:val="18"/>
              </w:rPr>
              <w:t xml:space="preserve"> </w:t>
            </w:r>
            <w:r w:rsidRPr="0049145A">
              <w:rPr>
                <w:rFonts w:ascii="Arial" w:hAnsi="Arial" w:cs="Arial"/>
                <w:spacing w:val="-2"/>
                <w:sz w:val="18"/>
              </w:rPr>
              <w:t>αποχώρησης</w:t>
            </w:r>
          </w:p>
        </w:tc>
        <w:tc>
          <w:tcPr>
            <w:tcW w:w="2602" w:type="dxa"/>
            <w:tcBorders>
              <w:left w:val="single" w:sz="2" w:space="0" w:color="BFBFBF" w:themeColor="background1" w:themeShade="BF"/>
            </w:tcBorders>
            <w:vAlign w:val="center"/>
          </w:tcPr>
          <w:p w14:paraId="4493F709" w14:textId="607BE742"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12</w:t>
            </w:r>
            <w:r w:rsidR="00BD40C3">
              <w:rPr>
                <w:rFonts w:ascii="Arial" w:hAnsi="Arial" w:cs="Arial"/>
                <w:sz w:val="18"/>
                <w:szCs w:val="18"/>
              </w:rPr>
              <w:t>,</w:t>
            </w:r>
            <w:r w:rsidRPr="005864AC">
              <w:rPr>
                <w:rFonts w:ascii="Arial" w:hAnsi="Arial" w:cs="Arial"/>
                <w:sz w:val="18"/>
                <w:szCs w:val="18"/>
              </w:rPr>
              <w:t xml:space="preserve">8 </w:t>
            </w:r>
          </w:p>
        </w:tc>
        <w:tc>
          <w:tcPr>
            <w:tcW w:w="1606" w:type="dxa"/>
            <w:tcBorders>
              <w:right w:val="nil"/>
            </w:tcBorders>
            <w:vAlign w:val="center"/>
          </w:tcPr>
          <w:p w14:paraId="7B78EAE2" w14:textId="6938AA1A"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11</w:t>
            </w:r>
            <w:r w:rsidR="00BD40C3">
              <w:rPr>
                <w:rFonts w:ascii="Arial" w:hAnsi="Arial" w:cs="Arial"/>
                <w:sz w:val="18"/>
                <w:szCs w:val="18"/>
              </w:rPr>
              <w:t>,</w:t>
            </w:r>
            <w:r w:rsidRPr="005864AC">
              <w:rPr>
                <w:rFonts w:ascii="Arial" w:hAnsi="Arial" w:cs="Arial"/>
                <w:sz w:val="18"/>
                <w:szCs w:val="18"/>
              </w:rPr>
              <w:t xml:space="preserve">1 </w:t>
            </w:r>
          </w:p>
        </w:tc>
      </w:tr>
      <w:tr w:rsidR="00B95778" w14:paraId="16E38CD5" w14:textId="77777777" w:rsidTr="007077AF">
        <w:trPr>
          <w:trHeight w:val="256"/>
        </w:trPr>
        <w:tc>
          <w:tcPr>
            <w:tcW w:w="6240" w:type="dxa"/>
            <w:tcBorders>
              <w:right w:val="single" w:sz="2" w:space="0" w:color="BFBFBF" w:themeColor="background1" w:themeShade="BF"/>
            </w:tcBorders>
            <w:vAlign w:val="center"/>
          </w:tcPr>
          <w:p w14:paraId="589E3494" w14:textId="0167EE3F" w:rsidR="00B95778" w:rsidRDefault="00B95778" w:rsidP="00B95778">
            <w:pPr>
              <w:jc w:val="both"/>
              <w:rPr>
                <w:rFonts w:ascii="Arial" w:hAnsi="Arial" w:cs="Arial"/>
                <w:sz w:val="18"/>
              </w:rPr>
            </w:pPr>
            <w:r w:rsidRPr="0049145A">
              <w:rPr>
                <w:rFonts w:ascii="Arial" w:hAnsi="Arial" w:cs="Arial"/>
                <w:spacing w:val="-2"/>
                <w:sz w:val="18"/>
              </w:rPr>
              <w:t>Καταβολές</w:t>
            </w:r>
            <w:r w:rsidRPr="0049145A">
              <w:rPr>
                <w:rFonts w:ascii="Arial" w:hAnsi="Arial" w:cs="Arial"/>
                <w:spacing w:val="-7"/>
                <w:sz w:val="18"/>
              </w:rPr>
              <w:t xml:space="preserve"> </w:t>
            </w:r>
            <w:r w:rsidRPr="0049145A">
              <w:rPr>
                <w:rFonts w:ascii="Arial" w:hAnsi="Arial" w:cs="Arial"/>
                <w:spacing w:val="-2"/>
                <w:sz w:val="18"/>
              </w:rPr>
              <w:t>λοιπών</w:t>
            </w:r>
            <w:r w:rsidRPr="0049145A">
              <w:rPr>
                <w:rFonts w:ascii="Arial" w:hAnsi="Arial" w:cs="Arial"/>
                <w:spacing w:val="-7"/>
                <w:sz w:val="18"/>
              </w:rPr>
              <w:t xml:space="preserve"> </w:t>
            </w:r>
            <w:r w:rsidRPr="0049145A">
              <w:rPr>
                <w:rFonts w:ascii="Arial" w:hAnsi="Arial" w:cs="Arial"/>
                <w:spacing w:val="-2"/>
                <w:sz w:val="18"/>
              </w:rPr>
              <w:t>εξόδων</w:t>
            </w:r>
            <w:r w:rsidRPr="0049145A">
              <w:rPr>
                <w:rFonts w:ascii="Arial" w:hAnsi="Arial" w:cs="Arial"/>
                <w:spacing w:val="-7"/>
                <w:sz w:val="18"/>
              </w:rPr>
              <w:t xml:space="preserve"> </w:t>
            </w:r>
            <w:r w:rsidRPr="0049145A">
              <w:rPr>
                <w:rFonts w:ascii="Arial" w:hAnsi="Arial" w:cs="Arial"/>
                <w:spacing w:val="-2"/>
                <w:sz w:val="18"/>
              </w:rPr>
              <w:t>αναδιοργάνωσης</w:t>
            </w:r>
          </w:p>
        </w:tc>
        <w:tc>
          <w:tcPr>
            <w:tcW w:w="2602" w:type="dxa"/>
            <w:tcBorders>
              <w:left w:val="single" w:sz="2" w:space="0" w:color="BFBFBF" w:themeColor="background1" w:themeShade="BF"/>
              <w:bottom w:val="nil"/>
            </w:tcBorders>
            <w:vAlign w:val="center"/>
          </w:tcPr>
          <w:p w14:paraId="48540827" w14:textId="367AF433"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w:t>
            </w:r>
            <w:r w:rsidR="00BD40C3">
              <w:rPr>
                <w:rFonts w:ascii="Arial" w:hAnsi="Arial" w:cs="Arial"/>
                <w:sz w:val="18"/>
                <w:szCs w:val="18"/>
              </w:rPr>
              <w:t>,</w:t>
            </w:r>
            <w:r w:rsidRPr="005864AC">
              <w:rPr>
                <w:rFonts w:ascii="Arial" w:hAnsi="Arial" w:cs="Arial"/>
                <w:sz w:val="18"/>
                <w:szCs w:val="18"/>
              </w:rPr>
              <w:t xml:space="preserve">8 </w:t>
            </w:r>
          </w:p>
        </w:tc>
        <w:tc>
          <w:tcPr>
            <w:tcW w:w="1606" w:type="dxa"/>
            <w:tcBorders>
              <w:bottom w:val="nil"/>
              <w:right w:val="nil"/>
            </w:tcBorders>
            <w:vAlign w:val="center"/>
          </w:tcPr>
          <w:p w14:paraId="5AC999B5" w14:textId="141C6B44"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1</w:t>
            </w:r>
            <w:r w:rsidR="00BD40C3">
              <w:rPr>
                <w:rFonts w:ascii="Arial" w:hAnsi="Arial" w:cs="Arial"/>
                <w:sz w:val="18"/>
                <w:szCs w:val="18"/>
              </w:rPr>
              <w:t>,</w:t>
            </w:r>
            <w:r w:rsidRPr="005864AC">
              <w:rPr>
                <w:rFonts w:ascii="Arial" w:hAnsi="Arial" w:cs="Arial"/>
                <w:sz w:val="18"/>
                <w:szCs w:val="18"/>
              </w:rPr>
              <w:t xml:space="preserve">1 </w:t>
            </w:r>
          </w:p>
        </w:tc>
      </w:tr>
      <w:tr w:rsidR="00B95778" w14:paraId="0AC8C208" w14:textId="77777777" w:rsidTr="007077AF">
        <w:trPr>
          <w:trHeight w:val="256"/>
        </w:trPr>
        <w:tc>
          <w:tcPr>
            <w:tcW w:w="6240" w:type="dxa"/>
            <w:tcBorders>
              <w:bottom w:val="nil"/>
              <w:right w:val="single" w:sz="2" w:space="0" w:color="BFBFBF" w:themeColor="background1" w:themeShade="BF"/>
            </w:tcBorders>
            <w:vAlign w:val="center"/>
          </w:tcPr>
          <w:p w14:paraId="329E91DC" w14:textId="56C65453" w:rsidR="00B95778" w:rsidRPr="00047C99" w:rsidRDefault="00B95778" w:rsidP="00B95778">
            <w:pPr>
              <w:jc w:val="both"/>
              <w:rPr>
                <w:rFonts w:ascii="Arial" w:hAnsi="Arial" w:cs="Arial"/>
                <w:sz w:val="18"/>
              </w:rPr>
            </w:pPr>
            <w:r w:rsidRPr="00A7639D">
              <w:rPr>
                <w:rFonts w:ascii="Arial" w:hAnsi="Arial" w:cs="Arial"/>
                <w:sz w:val="18"/>
                <w:szCs w:val="18"/>
              </w:rPr>
              <w:t>Καταβολές για αγορά φάσματος</w:t>
            </w:r>
          </w:p>
        </w:tc>
        <w:tc>
          <w:tcPr>
            <w:tcW w:w="2602" w:type="dxa"/>
            <w:tcBorders>
              <w:top w:val="nil"/>
              <w:left w:val="single" w:sz="2" w:space="0" w:color="BFBFBF" w:themeColor="background1" w:themeShade="BF"/>
              <w:bottom w:val="nil"/>
            </w:tcBorders>
            <w:vAlign w:val="center"/>
          </w:tcPr>
          <w:p w14:paraId="084E6D88" w14:textId="1F87B1F3"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w:t>
            </w:r>
          </w:p>
        </w:tc>
        <w:tc>
          <w:tcPr>
            <w:tcW w:w="1606" w:type="dxa"/>
            <w:tcBorders>
              <w:top w:val="nil"/>
              <w:bottom w:val="nil"/>
              <w:right w:val="single" w:sz="2" w:space="0" w:color="BFBFBF" w:themeColor="background1" w:themeShade="BF"/>
            </w:tcBorders>
            <w:vAlign w:val="center"/>
          </w:tcPr>
          <w:p w14:paraId="43CCAE42" w14:textId="44F93A9D" w:rsidR="00B95778" w:rsidRPr="001765A2" w:rsidRDefault="00B95778" w:rsidP="00B95778">
            <w:pPr>
              <w:jc w:val="center"/>
              <w:rPr>
                <w:rFonts w:ascii="Arial" w:hAnsi="Arial" w:cs="Arial"/>
                <w:color w:val="FF0000"/>
                <w:sz w:val="18"/>
                <w:szCs w:val="18"/>
              </w:rPr>
            </w:pPr>
            <w:r w:rsidRPr="005864AC">
              <w:rPr>
                <w:rFonts w:ascii="Arial" w:hAnsi="Arial" w:cs="Arial"/>
                <w:sz w:val="18"/>
                <w:szCs w:val="18"/>
              </w:rPr>
              <w:t>-</w:t>
            </w:r>
          </w:p>
        </w:tc>
      </w:tr>
      <w:tr w:rsidR="00B95778" w14:paraId="6E7B1733" w14:textId="77777777" w:rsidTr="00330B40">
        <w:trPr>
          <w:trHeight w:val="256"/>
        </w:trPr>
        <w:tc>
          <w:tcPr>
            <w:tcW w:w="6240" w:type="dxa"/>
            <w:tcBorders>
              <w:top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2C86720" w14:textId="5BD21537" w:rsidR="00B95778" w:rsidRPr="003B27F4" w:rsidRDefault="00B95778" w:rsidP="00B95778">
            <w:pPr>
              <w:jc w:val="both"/>
              <w:rPr>
                <w:rFonts w:ascii="Arial" w:hAnsi="Arial" w:cs="Arial"/>
                <w:b/>
                <w:sz w:val="18"/>
                <w:lang w:val="el-GR"/>
              </w:rPr>
            </w:pPr>
            <w:r w:rsidRPr="0049145A">
              <w:rPr>
                <w:rFonts w:ascii="Arial" w:hAnsi="Arial" w:cs="Arial"/>
                <w:b/>
                <w:bCs/>
                <w:spacing w:val="-2"/>
                <w:sz w:val="18"/>
                <w:lang w:val="el-GR"/>
              </w:rPr>
              <w:t>Προσαρμοσμένες</w:t>
            </w:r>
            <w:r w:rsidRPr="0049145A">
              <w:rPr>
                <w:rFonts w:ascii="Arial" w:hAnsi="Arial" w:cs="Arial"/>
                <w:b/>
                <w:bCs/>
                <w:spacing w:val="-4"/>
                <w:sz w:val="18"/>
                <w:lang w:val="el-GR"/>
              </w:rPr>
              <w:t xml:space="preserve"> </w:t>
            </w:r>
            <w:r w:rsidRPr="0049145A">
              <w:rPr>
                <w:rFonts w:ascii="Arial" w:hAnsi="Arial" w:cs="Arial"/>
                <w:b/>
                <w:bCs/>
                <w:spacing w:val="-2"/>
                <w:sz w:val="18"/>
                <w:lang w:val="el-GR"/>
              </w:rPr>
              <w:t>Ελεύθερες</w:t>
            </w:r>
            <w:r w:rsidRPr="0049145A">
              <w:rPr>
                <w:rFonts w:ascii="Arial" w:hAnsi="Arial" w:cs="Arial"/>
                <w:b/>
                <w:bCs/>
                <w:spacing w:val="-3"/>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5"/>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6"/>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w:t>
            </w:r>
            <w:r w:rsidRPr="0049145A">
              <w:rPr>
                <w:rFonts w:ascii="Arial" w:hAnsi="Arial" w:cs="Arial"/>
                <w:b/>
                <w:bCs/>
                <w:spacing w:val="-6"/>
                <w:sz w:val="18"/>
                <w:lang w:val="el-GR"/>
              </w:rPr>
              <w:t xml:space="preserve"> </w:t>
            </w:r>
            <w:r w:rsidRPr="0049145A">
              <w:rPr>
                <w:rFonts w:ascii="Arial" w:hAnsi="Arial" w:cs="Arial"/>
                <w:b/>
                <w:bCs/>
                <w:spacing w:val="-2"/>
                <w:sz w:val="18"/>
                <w:lang w:val="el-GR"/>
              </w:rPr>
              <w:t>μισθώσεις</w:t>
            </w:r>
            <w:r w:rsidRPr="0049145A">
              <w:rPr>
                <w:rFonts w:ascii="Arial" w:hAnsi="Arial" w:cs="Arial"/>
                <w:b/>
                <w:bCs/>
                <w:spacing w:val="-5"/>
                <w:sz w:val="18"/>
                <w:lang w:val="el-GR"/>
              </w:rPr>
              <w:t xml:space="preserve"> </w:t>
            </w:r>
            <w:r w:rsidRPr="0049145A">
              <w:rPr>
                <w:rFonts w:ascii="Arial" w:hAnsi="Arial" w:cs="Arial"/>
                <w:b/>
                <w:bCs/>
                <w:spacing w:val="-4"/>
                <w:sz w:val="18"/>
                <w:lang w:val="el-GR"/>
              </w:rPr>
              <w:t>(</w:t>
            </w:r>
            <w:r w:rsidRPr="0049145A">
              <w:rPr>
                <w:rFonts w:ascii="Arial" w:hAnsi="Arial" w:cs="Arial"/>
                <w:b/>
                <w:bCs/>
                <w:spacing w:val="-4"/>
                <w:sz w:val="18"/>
              </w:rPr>
              <w:t>AL</w:t>
            </w:r>
            <w:r w:rsidRPr="0049145A">
              <w:rPr>
                <w:rFonts w:ascii="Arial" w:hAnsi="Arial" w:cs="Arial"/>
                <w:b/>
                <w:bCs/>
                <w:spacing w:val="-4"/>
                <w:sz w:val="18"/>
                <w:lang w:val="el-GR"/>
              </w:rPr>
              <w:t>)</w:t>
            </w:r>
          </w:p>
        </w:tc>
        <w:tc>
          <w:tcPr>
            <w:tcW w:w="2602" w:type="dxa"/>
            <w:tcBorders>
              <w:top w:val="nil"/>
              <w:left w:val="single" w:sz="2" w:space="0" w:color="BFBFBF" w:themeColor="background1" w:themeShade="BF"/>
              <w:bottom w:val="single" w:sz="2" w:space="0" w:color="BFBFBF" w:themeColor="background1" w:themeShade="BF"/>
            </w:tcBorders>
            <w:shd w:val="clear" w:color="auto" w:fill="F2F2F2" w:themeFill="background1" w:themeFillShade="F2"/>
            <w:vAlign w:val="center"/>
          </w:tcPr>
          <w:p w14:paraId="6D2915A2" w14:textId="719178A2"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75</w:t>
            </w:r>
            <w:r w:rsidR="00BD40C3">
              <w:rPr>
                <w:rFonts w:ascii="Arial" w:hAnsi="Arial" w:cs="Arial"/>
                <w:b/>
                <w:bCs/>
                <w:sz w:val="18"/>
                <w:szCs w:val="18"/>
              </w:rPr>
              <w:t>,</w:t>
            </w:r>
            <w:r w:rsidRPr="005864AC">
              <w:rPr>
                <w:rFonts w:ascii="Arial" w:hAnsi="Arial" w:cs="Arial"/>
                <w:b/>
                <w:bCs/>
                <w:sz w:val="18"/>
                <w:szCs w:val="18"/>
              </w:rPr>
              <w:t xml:space="preserve">0 </w:t>
            </w:r>
          </w:p>
        </w:tc>
        <w:tc>
          <w:tcPr>
            <w:tcW w:w="1606" w:type="dxa"/>
            <w:tcBorders>
              <w:top w:val="nil"/>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C2FCDFA" w14:textId="151EBA03" w:rsidR="00B95778" w:rsidRPr="001765A2" w:rsidRDefault="00B95778" w:rsidP="00B95778">
            <w:pPr>
              <w:jc w:val="center"/>
              <w:rPr>
                <w:rFonts w:ascii="Arial" w:hAnsi="Arial" w:cs="Arial"/>
                <w:b/>
                <w:bCs/>
                <w:color w:val="FF0000"/>
                <w:sz w:val="18"/>
                <w:szCs w:val="18"/>
              </w:rPr>
            </w:pPr>
            <w:r w:rsidRPr="005864AC">
              <w:rPr>
                <w:rFonts w:ascii="Arial" w:hAnsi="Arial" w:cs="Arial"/>
                <w:b/>
                <w:bCs/>
                <w:sz w:val="18"/>
                <w:szCs w:val="18"/>
              </w:rPr>
              <w:t>118</w:t>
            </w:r>
            <w:r w:rsidR="00BD40C3">
              <w:rPr>
                <w:rFonts w:ascii="Arial" w:hAnsi="Arial" w:cs="Arial"/>
                <w:b/>
                <w:bCs/>
                <w:sz w:val="18"/>
                <w:szCs w:val="18"/>
              </w:rPr>
              <w:t>,</w:t>
            </w:r>
            <w:r w:rsidRPr="005864AC">
              <w:rPr>
                <w:rFonts w:ascii="Arial" w:hAnsi="Arial" w:cs="Arial"/>
                <w:b/>
                <w:bCs/>
                <w:sz w:val="18"/>
                <w:szCs w:val="18"/>
              </w:rPr>
              <w:t xml:space="preserve">4 </w:t>
            </w:r>
          </w:p>
        </w:tc>
      </w:tr>
    </w:tbl>
    <w:p w14:paraId="2C9F96E9" w14:textId="77777777" w:rsidR="003B27F4" w:rsidRPr="005D6711" w:rsidRDefault="003B27F4" w:rsidP="000B05AD">
      <w:pPr>
        <w:spacing w:line="280" w:lineRule="exact"/>
        <w:jc w:val="both"/>
        <w:rPr>
          <w:rFonts w:ascii="Arial" w:eastAsia="Times New Roman" w:hAnsi="Arial" w:cs="Arial"/>
        </w:rPr>
      </w:pPr>
    </w:p>
    <w:p w14:paraId="10D4295B" w14:textId="77777777" w:rsidR="002306CF" w:rsidRDefault="002306CF" w:rsidP="00386EA0">
      <w:pPr>
        <w:spacing w:after="0" w:line="240" w:lineRule="auto"/>
        <w:jc w:val="both"/>
        <w:rPr>
          <w:rFonts w:ascii="Arial" w:eastAsia="Times New Roman" w:hAnsi="Arial" w:cs="Arial"/>
          <w:b/>
          <w:color w:val="004B87"/>
        </w:rPr>
      </w:pPr>
    </w:p>
    <w:p w14:paraId="16779D74" w14:textId="4D0FC86F" w:rsidR="009E285A" w:rsidRPr="0042272D" w:rsidRDefault="009E285A" w:rsidP="00386EA0">
      <w:pPr>
        <w:spacing w:after="0" w:line="240" w:lineRule="auto"/>
        <w:jc w:val="both"/>
        <w:rPr>
          <w:rFonts w:ascii="Arial" w:eastAsia="Times New Roman" w:hAnsi="Arial" w:cs="Arial"/>
          <w:b/>
          <w:color w:val="004B87"/>
        </w:rPr>
      </w:pPr>
      <w:r w:rsidRPr="003C7A07">
        <w:rPr>
          <w:rFonts w:ascii="Arial" w:eastAsia="Times New Roman" w:hAnsi="Arial" w:cs="Arial"/>
          <w:b/>
          <w:color w:val="004B87"/>
        </w:rPr>
        <w:t xml:space="preserve">Προσαρμοσμένα Καθαρά Κέρδη σε μετόχους της </w:t>
      </w:r>
      <w:r w:rsidR="00CC0E4F">
        <w:rPr>
          <w:rFonts w:ascii="Arial" w:eastAsia="Times New Roman" w:hAnsi="Arial" w:cs="Arial"/>
          <w:b/>
          <w:color w:val="004B87"/>
        </w:rPr>
        <w:t>Ε</w:t>
      </w:r>
      <w:r w:rsidRPr="003C7A07">
        <w:rPr>
          <w:rFonts w:ascii="Arial" w:eastAsia="Times New Roman" w:hAnsi="Arial" w:cs="Arial"/>
          <w:b/>
          <w:color w:val="004B87"/>
        </w:rPr>
        <w:t>ταιρείας</w:t>
      </w:r>
    </w:p>
    <w:p w14:paraId="708D4207" w14:textId="699EF3F8" w:rsidR="004119D9" w:rsidRPr="00235D33" w:rsidRDefault="009E285A" w:rsidP="00C77FF5">
      <w:pPr>
        <w:tabs>
          <w:tab w:val="left" w:pos="-993"/>
        </w:tabs>
        <w:autoSpaceDE w:val="0"/>
        <w:jc w:val="both"/>
        <w:rPr>
          <w:rFonts w:ascii="Arial" w:eastAsia="Times New Roman" w:hAnsi="Arial" w:cs="Arial"/>
        </w:rPr>
      </w:pPr>
      <w:r w:rsidRPr="001D7A36">
        <w:rPr>
          <w:rFonts w:ascii="Arial" w:eastAsia="Times New Roman" w:hAnsi="Arial" w:cs="Arial"/>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Για την αντίστοιχη περίοδο του 202</w:t>
      </w:r>
      <w:r w:rsidR="00695145">
        <w:rPr>
          <w:rFonts w:ascii="Arial" w:eastAsia="Times New Roman" w:hAnsi="Arial" w:cs="Arial"/>
        </w:rPr>
        <w:t>6</w:t>
      </w:r>
      <w:r w:rsidRPr="001D7A36">
        <w:rPr>
          <w:rFonts w:ascii="Arial" w:eastAsia="Times New Roman" w:hAnsi="Arial" w:cs="Arial"/>
        </w:rPr>
        <w:t xml:space="preserve"> και την συγκρινόμενη περίοδο του 202</w:t>
      </w:r>
      <w:r w:rsidR="00695145">
        <w:rPr>
          <w:rFonts w:ascii="Arial" w:eastAsia="Times New Roman" w:hAnsi="Arial" w:cs="Arial"/>
        </w:rPr>
        <w:t>5</w:t>
      </w:r>
      <w:r w:rsidRPr="001D7A36">
        <w:rPr>
          <w:rFonts w:ascii="Arial" w:eastAsia="Times New Roman" w:hAnsi="Arial" w:cs="Arial"/>
        </w:rPr>
        <w:t xml:space="preserve">, έχει ληφθεί υπόψη η </w:t>
      </w:r>
      <w:r w:rsidR="00C77FF5" w:rsidRPr="00CF38DC">
        <w:rPr>
          <w:rFonts w:ascii="Arial" w:eastAsia="Times New Roman" w:hAnsi="Arial" w:cs="Arial"/>
        </w:rPr>
        <w:t>επίδραση από τα κόστη σχετιζόμενα με προγράμματα εθελούσιας αποχώρησης,</w:t>
      </w:r>
      <w:r w:rsidR="006A0D71" w:rsidRPr="006A0D71">
        <w:rPr>
          <w:rFonts w:ascii="Arial" w:eastAsia="Times New Roman" w:hAnsi="Arial" w:cs="Arial"/>
        </w:rPr>
        <w:t xml:space="preserve"> </w:t>
      </w:r>
      <w:r w:rsidR="00123E31">
        <w:rPr>
          <w:rFonts w:ascii="Arial" w:eastAsia="Times New Roman" w:hAnsi="Arial" w:cs="Arial"/>
        </w:rPr>
        <w:t>και λοιπά έξοδα αναδιοργάνωσης.</w:t>
      </w:r>
    </w:p>
    <w:p w14:paraId="7F8008E8" w14:textId="77777777" w:rsidR="00887009" w:rsidRDefault="00887009" w:rsidP="00887009">
      <w:pPr>
        <w:spacing w:after="0" w:line="240" w:lineRule="auto"/>
        <w:jc w:val="both"/>
        <w:rPr>
          <w:rFonts w:ascii="Arial" w:eastAsia="Times New Roman" w:hAnsi="Arial" w:cs="Arial"/>
          <w:b/>
          <w:color w:val="004B87"/>
        </w:rPr>
      </w:pPr>
    </w:p>
    <w:p w14:paraId="6B13661D" w14:textId="2509A628" w:rsidR="00203138" w:rsidRPr="00FB20CB" w:rsidRDefault="00887009" w:rsidP="0070249D">
      <w:pPr>
        <w:pStyle w:val="Caption"/>
        <w:keepNext/>
        <w:rPr>
          <w:rFonts w:cs="Arial"/>
          <w:lang w:val="el-GR"/>
        </w:rPr>
      </w:pPr>
      <w:r w:rsidRPr="00FB20CB">
        <w:rPr>
          <w:rFonts w:cs="Arial"/>
          <w:lang w:val="el-GR"/>
        </w:rPr>
        <w:t>Προσαρμοσμένα Καθαρά Κέρδη σε μετόχους της Εταιρείας</w:t>
      </w:r>
    </w:p>
    <w:tbl>
      <w:tblPr>
        <w:tblStyle w:val="TableGrid"/>
        <w:tblW w:w="10451" w:type="dxa"/>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6529"/>
        <w:gridCol w:w="1961"/>
        <w:gridCol w:w="1961"/>
      </w:tblGrid>
      <w:tr w:rsidR="00964363" w14:paraId="10CD6007" w14:textId="77777777" w:rsidTr="00964363">
        <w:trPr>
          <w:trHeight w:val="398"/>
          <w:tblHeader/>
        </w:trPr>
        <w:tc>
          <w:tcPr>
            <w:tcW w:w="6529" w:type="dxa"/>
            <w:tcBorders>
              <w:bottom w:val="single" w:sz="2" w:space="0" w:color="BFBFBF" w:themeColor="background1" w:themeShade="BF"/>
            </w:tcBorders>
            <w:vAlign w:val="center"/>
          </w:tcPr>
          <w:p w14:paraId="20FE4DBC" w14:textId="65B9EA25" w:rsidR="00964363" w:rsidRPr="00FB20CB" w:rsidRDefault="00964363" w:rsidP="0070249D">
            <w:pPr>
              <w:jc w:val="both"/>
              <w:rPr>
                <w:rFonts w:ascii="Arial" w:hAnsi="Arial" w:cs="Arial"/>
                <w:b/>
                <w:color w:val="000000"/>
                <w:szCs w:val="22"/>
                <w:lang w:val="el-GR" w:eastAsia="el-GR"/>
              </w:rPr>
            </w:pPr>
            <w:r w:rsidRPr="0042272D">
              <w:rPr>
                <w:rFonts w:ascii="Arial" w:hAnsi="Arial" w:cs="Arial"/>
                <w:b/>
                <w:sz w:val="18"/>
                <w:szCs w:val="18"/>
              </w:rPr>
              <w:t>Όμιλος ΟΤΕ (Ευρώ εκατ.)</w:t>
            </w:r>
            <w:r w:rsidRPr="0042272D">
              <w:rPr>
                <w:rFonts w:ascii="Arial" w:hAnsi="Arial" w:cs="Arial"/>
                <w:b/>
                <w:sz w:val="18"/>
                <w:szCs w:val="18"/>
                <w:lang w:val="el-GR"/>
              </w:rPr>
              <w:t xml:space="preserve"> </w:t>
            </w:r>
          </w:p>
        </w:tc>
        <w:tc>
          <w:tcPr>
            <w:tcW w:w="1961" w:type="dxa"/>
            <w:tcBorders>
              <w:bottom w:val="single" w:sz="2" w:space="0" w:color="BFBFBF" w:themeColor="background1" w:themeShade="BF"/>
              <w:right w:val="nil"/>
            </w:tcBorders>
            <w:vAlign w:val="center"/>
          </w:tcPr>
          <w:p w14:paraId="56F8D819" w14:textId="55AAEBEB" w:rsidR="00964363" w:rsidRPr="00964363" w:rsidRDefault="00964363" w:rsidP="0070249D">
            <w:pPr>
              <w:jc w:val="center"/>
              <w:rPr>
                <w:rFonts w:ascii="Arial" w:hAnsi="Arial" w:cs="Arial"/>
                <w:b/>
                <w:color w:val="000000"/>
                <w:szCs w:val="22"/>
                <w:lang w:val="el-GR" w:eastAsia="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6</w:t>
            </w:r>
          </w:p>
        </w:tc>
        <w:tc>
          <w:tcPr>
            <w:tcW w:w="1961" w:type="dxa"/>
            <w:tcBorders>
              <w:left w:val="nil"/>
              <w:bottom w:val="single" w:sz="2" w:space="0" w:color="BFBFBF" w:themeColor="background1" w:themeShade="BF"/>
            </w:tcBorders>
            <w:vAlign w:val="center"/>
          </w:tcPr>
          <w:p w14:paraId="238716C4" w14:textId="5E7BEF45" w:rsidR="00964363" w:rsidRPr="00964363" w:rsidRDefault="00964363" w:rsidP="0070249D">
            <w:pPr>
              <w:jc w:val="center"/>
              <w:rPr>
                <w:rFonts w:ascii="Arial" w:hAnsi="Arial" w:cs="Arial"/>
                <w:b/>
                <w:color w:val="000000"/>
                <w:szCs w:val="22"/>
                <w:lang w:val="el-GR" w:eastAsia="el-GR"/>
              </w:rPr>
            </w:pPr>
            <w:r w:rsidRPr="00047C99">
              <w:rPr>
                <w:rFonts w:ascii="Arial" w:hAnsi="Arial" w:cs="Arial"/>
                <w:b/>
                <w:sz w:val="18"/>
              </w:rPr>
              <w:t>Q</w:t>
            </w:r>
            <w:r>
              <w:rPr>
                <w:rFonts w:ascii="Arial" w:hAnsi="Arial" w:cs="Arial"/>
                <w:b/>
                <w:sz w:val="18"/>
                <w:lang w:val="el-GR"/>
              </w:rPr>
              <w:t>1</w:t>
            </w:r>
            <w:r w:rsidRPr="00047C99">
              <w:rPr>
                <w:rFonts w:ascii="Arial" w:hAnsi="Arial" w:cs="Arial"/>
                <w:b/>
                <w:sz w:val="18"/>
              </w:rPr>
              <w:t>'2</w:t>
            </w:r>
            <w:r>
              <w:rPr>
                <w:rFonts w:ascii="Arial" w:hAnsi="Arial" w:cs="Arial"/>
                <w:b/>
                <w:sz w:val="18"/>
                <w:lang w:val="el-GR"/>
              </w:rPr>
              <w:t>5</w:t>
            </w:r>
          </w:p>
        </w:tc>
      </w:tr>
      <w:tr w:rsidR="00B95778" w14:paraId="0B806EE3" w14:textId="77777777" w:rsidTr="00964363">
        <w:trPr>
          <w:trHeight w:val="336"/>
        </w:trPr>
        <w:tc>
          <w:tcPr>
            <w:tcW w:w="6529" w:type="dxa"/>
            <w:tcBorders>
              <w:bottom w:val="nil"/>
            </w:tcBorders>
            <w:vAlign w:val="center"/>
          </w:tcPr>
          <w:p w14:paraId="31E9B227" w14:textId="263D345F" w:rsidR="00B95778" w:rsidRPr="00FB20CB" w:rsidRDefault="00B95778" w:rsidP="00B95778">
            <w:pPr>
              <w:jc w:val="both"/>
              <w:rPr>
                <w:rFonts w:ascii="Arial" w:hAnsi="Arial" w:cs="Arial"/>
                <w:color w:val="000000"/>
                <w:szCs w:val="22"/>
                <w:lang w:val="el-GR" w:eastAsia="el-GR"/>
              </w:rPr>
            </w:pPr>
            <w:r w:rsidRPr="0042272D">
              <w:rPr>
                <w:rFonts w:ascii="Arial" w:hAnsi="Arial" w:cs="Arial"/>
                <w:b/>
                <w:sz w:val="18"/>
                <w:szCs w:val="18"/>
                <w:lang w:val="el-GR"/>
              </w:rPr>
              <w:t>Καθαρά κέρδη  σε μετόχους της Εταιρείας</w:t>
            </w:r>
            <w:r w:rsidRPr="00A5550D">
              <w:rPr>
                <w:rFonts w:ascii="Arial" w:hAnsi="Arial" w:cs="Arial"/>
                <w:b/>
                <w:sz w:val="18"/>
                <w:szCs w:val="18"/>
                <w:lang w:val="el-GR"/>
              </w:rPr>
              <w:t xml:space="preserve"> </w:t>
            </w:r>
            <w:r>
              <w:rPr>
                <w:rFonts w:ascii="Arial" w:hAnsi="Arial" w:cs="Arial"/>
                <w:b/>
                <w:sz w:val="18"/>
                <w:szCs w:val="18"/>
                <w:lang w:val="el-GR"/>
              </w:rPr>
              <w:t>από συνεχιζόμενες δραστηριότητες</w:t>
            </w:r>
          </w:p>
        </w:tc>
        <w:tc>
          <w:tcPr>
            <w:tcW w:w="1961" w:type="dxa"/>
            <w:tcBorders>
              <w:bottom w:val="nil"/>
              <w:right w:val="nil"/>
            </w:tcBorders>
            <w:vAlign w:val="center"/>
          </w:tcPr>
          <w:p w14:paraId="6D645230" w14:textId="7833503C" w:rsidR="00B95778" w:rsidRPr="002022F8" w:rsidRDefault="00B95778" w:rsidP="00B95778">
            <w:pPr>
              <w:jc w:val="center"/>
              <w:rPr>
                <w:rFonts w:ascii="Arial" w:hAnsi="Arial" w:cs="Arial"/>
                <w:color w:val="FF0000"/>
                <w:sz w:val="18"/>
                <w:szCs w:val="18"/>
                <w:lang w:val="el-GR"/>
              </w:rPr>
            </w:pPr>
            <w:r w:rsidRPr="00E86655">
              <w:rPr>
                <w:rFonts w:ascii="Arial" w:hAnsi="Arial" w:cs="Arial"/>
                <w:sz w:val="18"/>
                <w:szCs w:val="18"/>
              </w:rPr>
              <w:t>138</w:t>
            </w:r>
            <w:r w:rsidR="00572FD1">
              <w:rPr>
                <w:rFonts w:ascii="Arial" w:hAnsi="Arial" w:cs="Arial"/>
                <w:sz w:val="18"/>
                <w:szCs w:val="18"/>
              </w:rPr>
              <w:t>,</w:t>
            </w:r>
            <w:r w:rsidRPr="00E86655">
              <w:rPr>
                <w:rFonts w:ascii="Arial" w:hAnsi="Arial" w:cs="Arial"/>
                <w:sz w:val="18"/>
                <w:szCs w:val="18"/>
              </w:rPr>
              <w:t>2</w:t>
            </w:r>
          </w:p>
        </w:tc>
        <w:tc>
          <w:tcPr>
            <w:tcW w:w="1961" w:type="dxa"/>
            <w:tcBorders>
              <w:left w:val="nil"/>
              <w:bottom w:val="nil"/>
            </w:tcBorders>
            <w:vAlign w:val="center"/>
          </w:tcPr>
          <w:p w14:paraId="3CB1FB57" w14:textId="246BF1F7" w:rsidR="00B95778" w:rsidRPr="002022F8" w:rsidRDefault="00B95778" w:rsidP="00B95778">
            <w:pPr>
              <w:jc w:val="center"/>
              <w:rPr>
                <w:rFonts w:ascii="Arial" w:hAnsi="Arial" w:cs="Arial"/>
                <w:color w:val="FF0000"/>
                <w:sz w:val="18"/>
                <w:szCs w:val="18"/>
              </w:rPr>
            </w:pPr>
            <w:r w:rsidRPr="00E86655">
              <w:rPr>
                <w:rFonts w:ascii="Arial" w:hAnsi="Arial" w:cs="Arial"/>
                <w:sz w:val="18"/>
                <w:szCs w:val="18"/>
              </w:rPr>
              <w:t>151</w:t>
            </w:r>
            <w:r w:rsidR="00572FD1">
              <w:rPr>
                <w:rFonts w:ascii="Arial" w:hAnsi="Arial" w:cs="Arial"/>
                <w:sz w:val="18"/>
                <w:szCs w:val="18"/>
              </w:rPr>
              <w:t>,</w:t>
            </w:r>
            <w:r w:rsidRPr="00E86655">
              <w:rPr>
                <w:rFonts w:ascii="Arial" w:hAnsi="Arial" w:cs="Arial"/>
                <w:sz w:val="18"/>
                <w:szCs w:val="18"/>
              </w:rPr>
              <w:t>8</w:t>
            </w:r>
          </w:p>
        </w:tc>
      </w:tr>
      <w:tr w:rsidR="00B95778" w14:paraId="166C2786" w14:textId="77777777" w:rsidTr="00964363">
        <w:trPr>
          <w:trHeight w:val="336"/>
        </w:trPr>
        <w:tc>
          <w:tcPr>
            <w:tcW w:w="6529" w:type="dxa"/>
            <w:tcBorders>
              <w:top w:val="nil"/>
              <w:bottom w:val="nil"/>
            </w:tcBorders>
            <w:vAlign w:val="center"/>
          </w:tcPr>
          <w:p w14:paraId="592AAE50" w14:textId="7AC8E9CE" w:rsidR="00B95778" w:rsidRPr="00FB20CB" w:rsidRDefault="00B95778" w:rsidP="00B95778">
            <w:pPr>
              <w:jc w:val="both"/>
              <w:rPr>
                <w:rFonts w:ascii="Arial" w:hAnsi="Arial" w:cs="Arial"/>
                <w:color w:val="000000"/>
                <w:szCs w:val="22"/>
                <w:lang w:val="el-GR" w:eastAsia="el-GR"/>
              </w:rPr>
            </w:pPr>
            <w:r w:rsidRPr="0042272D">
              <w:rPr>
                <w:rFonts w:ascii="Arial" w:hAnsi="Arial" w:cs="Arial"/>
                <w:sz w:val="18"/>
                <w:szCs w:val="18"/>
                <w:lang w:val="el-GR"/>
              </w:rPr>
              <w:t>Κόστη σχετιζόμενα με προγράμματα εθελούσιας αποχώρησης</w:t>
            </w:r>
          </w:p>
        </w:tc>
        <w:tc>
          <w:tcPr>
            <w:tcW w:w="1961" w:type="dxa"/>
            <w:tcBorders>
              <w:top w:val="nil"/>
              <w:bottom w:val="nil"/>
              <w:right w:val="nil"/>
            </w:tcBorders>
            <w:vAlign w:val="center"/>
          </w:tcPr>
          <w:p w14:paraId="556E2793" w14:textId="76A50F4B" w:rsidR="00B95778" w:rsidRPr="002022F8" w:rsidRDefault="00B95778" w:rsidP="00B95778">
            <w:pPr>
              <w:jc w:val="center"/>
              <w:rPr>
                <w:rFonts w:ascii="Arial" w:hAnsi="Arial" w:cs="Arial"/>
                <w:color w:val="FF0000"/>
                <w:sz w:val="18"/>
                <w:szCs w:val="18"/>
                <w:lang w:val="el-GR"/>
              </w:rPr>
            </w:pPr>
            <w:r w:rsidRPr="00E86655">
              <w:rPr>
                <w:rFonts w:ascii="Arial" w:hAnsi="Arial" w:cs="Arial"/>
                <w:sz w:val="18"/>
                <w:szCs w:val="18"/>
              </w:rPr>
              <w:t>15</w:t>
            </w:r>
            <w:r w:rsidR="00572FD1">
              <w:rPr>
                <w:rFonts w:ascii="Arial" w:hAnsi="Arial" w:cs="Arial"/>
                <w:sz w:val="18"/>
                <w:szCs w:val="18"/>
              </w:rPr>
              <w:t>,</w:t>
            </w:r>
            <w:r w:rsidRPr="00E86655">
              <w:rPr>
                <w:rFonts w:ascii="Arial" w:hAnsi="Arial" w:cs="Arial"/>
                <w:sz w:val="18"/>
                <w:szCs w:val="18"/>
              </w:rPr>
              <w:t>0</w:t>
            </w:r>
          </w:p>
        </w:tc>
        <w:tc>
          <w:tcPr>
            <w:tcW w:w="1961" w:type="dxa"/>
            <w:tcBorders>
              <w:top w:val="nil"/>
              <w:left w:val="nil"/>
              <w:bottom w:val="nil"/>
            </w:tcBorders>
            <w:vAlign w:val="center"/>
          </w:tcPr>
          <w:p w14:paraId="7DF11D8C" w14:textId="3EA37499" w:rsidR="00B95778" w:rsidRPr="002022F8" w:rsidRDefault="00B95778" w:rsidP="00B95778">
            <w:pPr>
              <w:jc w:val="center"/>
              <w:rPr>
                <w:rFonts w:ascii="Arial" w:hAnsi="Arial" w:cs="Arial"/>
                <w:color w:val="FF0000"/>
                <w:sz w:val="18"/>
                <w:szCs w:val="18"/>
                <w:lang w:val="el-GR"/>
              </w:rPr>
            </w:pPr>
            <w:r w:rsidRPr="00E86655">
              <w:rPr>
                <w:rFonts w:ascii="Arial" w:hAnsi="Arial" w:cs="Arial"/>
                <w:sz w:val="18"/>
                <w:szCs w:val="18"/>
              </w:rPr>
              <w:t>10</w:t>
            </w:r>
            <w:r w:rsidR="00572FD1">
              <w:rPr>
                <w:rFonts w:ascii="Arial" w:hAnsi="Arial" w:cs="Arial"/>
                <w:sz w:val="18"/>
                <w:szCs w:val="18"/>
              </w:rPr>
              <w:t>,</w:t>
            </w:r>
            <w:r w:rsidRPr="00E86655">
              <w:rPr>
                <w:rFonts w:ascii="Arial" w:hAnsi="Arial" w:cs="Arial"/>
                <w:sz w:val="18"/>
                <w:szCs w:val="18"/>
              </w:rPr>
              <w:t>0</w:t>
            </w:r>
          </w:p>
        </w:tc>
      </w:tr>
      <w:tr w:rsidR="00B95778" w14:paraId="4BE64722" w14:textId="77777777" w:rsidTr="00964363">
        <w:trPr>
          <w:trHeight w:val="336"/>
        </w:trPr>
        <w:tc>
          <w:tcPr>
            <w:tcW w:w="6529" w:type="dxa"/>
            <w:tcBorders>
              <w:top w:val="nil"/>
              <w:bottom w:val="nil"/>
            </w:tcBorders>
            <w:vAlign w:val="center"/>
          </w:tcPr>
          <w:p w14:paraId="032C8E8D" w14:textId="0A105256" w:rsidR="00B95778" w:rsidRPr="00FB20CB" w:rsidRDefault="00B95778" w:rsidP="00B95778">
            <w:pPr>
              <w:pStyle w:val="Default"/>
              <w:jc w:val="both"/>
              <w:rPr>
                <w:rFonts w:ascii="Arial" w:hAnsi="Arial" w:cs="Arial"/>
                <w:szCs w:val="22"/>
                <w:lang w:val="el-GR"/>
              </w:rPr>
            </w:pPr>
            <w:r w:rsidRPr="00FB20CB">
              <w:rPr>
                <w:rFonts w:ascii="Arial" w:hAnsi="Arial" w:cs="Arial"/>
                <w:sz w:val="18"/>
                <w:szCs w:val="18"/>
                <w:lang w:val="el-GR"/>
              </w:rPr>
              <w:t xml:space="preserve">Λοιπά Έξοδα αναδιοργάνωσης </w:t>
            </w:r>
          </w:p>
        </w:tc>
        <w:tc>
          <w:tcPr>
            <w:tcW w:w="1961" w:type="dxa"/>
            <w:tcBorders>
              <w:top w:val="nil"/>
              <w:bottom w:val="nil"/>
              <w:right w:val="nil"/>
            </w:tcBorders>
            <w:vAlign w:val="center"/>
          </w:tcPr>
          <w:p w14:paraId="5F655FE8" w14:textId="2EDF718D" w:rsidR="00B95778" w:rsidRPr="002022F8" w:rsidRDefault="00B95778" w:rsidP="00B95778">
            <w:pPr>
              <w:jc w:val="center"/>
              <w:rPr>
                <w:rFonts w:ascii="Arial" w:hAnsi="Arial" w:cs="Arial"/>
                <w:color w:val="FF0000"/>
                <w:sz w:val="18"/>
                <w:szCs w:val="18"/>
                <w:lang w:val="el-GR"/>
              </w:rPr>
            </w:pPr>
            <w:r w:rsidRPr="00E86655">
              <w:rPr>
                <w:rFonts w:ascii="Arial" w:hAnsi="Arial" w:cs="Arial"/>
                <w:sz w:val="18"/>
                <w:szCs w:val="18"/>
              </w:rPr>
              <w:t>0</w:t>
            </w:r>
            <w:r w:rsidR="00572FD1">
              <w:rPr>
                <w:rFonts w:ascii="Arial" w:hAnsi="Arial" w:cs="Arial"/>
                <w:sz w:val="18"/>
                <w:szCs w:val="18"/>
              </w:rPr>
              <w:t>,</w:t>
            </w:r>
            <w:r w:rsidRPr="00E86655">
              <w:rPr>
                <w:rFonts w:ascii="Arial" w:hAnsi="Arial" w:cs="Arial"/>
                <w:sz w:val="18"/>
                <w:szCs w:val="18"/>
              </w:rPr>
              <w:t>4</w:t>
            </w:r>
          </w:p>
        </w:tc>
        <w:tc>
          <w:tcPr>
            <w:tcW w:w="1961" w:type="dxa"/>
            <w:tcBorders>
              <w:top w:val="nil"/>
              <w:left w:val="nil"/>
              <w:bottom w:val="nil"/>
            </w:tcBorders>
            <w:vAlign w:val="center"/>
          </w:tcPr>
          <w:p w14:paraId="4F1D3953" w14:textId="14E4FB38" w:rsidR="00B95778" w:rsidRPr="002022F8" w:rsidRDefault="00B95778" w:rsidP="00B95778">
            <w:pPr>
              <w:jc w:val="center"/>
              <w:rPr>
                <w:rFonts w:ascii="Arial" w:hAnsi="Arial" w:cs="Arial"/>
                <w:color w:val="FF0000"/>
                <w:sz w:val="18"/>
                <w:szCs w:val="18"/>
                <w:lang w:val="el-GR"/>
              </w:rPr>
            </w:pPr>
            <w:r w:rsidRPr="00E86655">
              <w:rPr>
                <w:rFonts w:ascii="Arial" w:hAnsi="Arial" w:cs="Arial"/>
                <w:sz w:val="18"/>
                <w:szCs w:val="18"/>
              </w:rPr>
              <w:t>0</w:t>
            </w:r>
            <w:r w:rsidR="00572FD1">
              <w:rPr>
                <w:rFonts w:ascii="Arial" w:hAnsi="Arial" w:cs="Arial"/>
                <w:sz w:val="18"/>
                <w:szCs w:val="18"/>
              </w:rPr>
              <w:t>,</w:t>
            </w:r>
            <w:r w:rsidRPr="00E86655">
              <w:rPr>
                <w:rFonts w:ascii="Arial" w:hAnsi="Arial" w:cs="Arial"/>
                <w:sz w:val="18"/>
                <w:szCs w:val="18"/>
              </w:rPr>
              <w:t>5</w:t>
            </w:r>
          </w:p>
        </w:tc>
      </w:tr>
      <w:tr w:rsidR="00B95778" w14:paraId="39E89DC9" w14:textId="77777777" w:rsidTr="00964363">
        <w:trPr>
          <w:trHeight w:val="336"/>
        </w:trPr>
        <w:tc>
          <w:tcPr>
            <w:tcW w:w="6529" w:type="dxa"/>
            <w:tcBorders>
              <w:top w:val="nil"/>
            </w:tcBorders>
            <w:shd w:val="clear" w:color="auto" w:fill="F2F2F2" w:themeFill="background1" w:themeFillShade="F2"/>
            <w:vAlign w:val="center"/>
          </w:tcPr>
          <w:p w14:paraId="35F750CC" w14:textId="1D663D63" w:rsidR="00B95778" w:rsidRPr="00FB20CB" w:rsidRDefault="00B95778" w:rsidP="00B95778">
            <w:pPr>
              <w:jc w:val="both"/>
              <w:rPr>
                <w:rFonts w:ascii="Arial" w:hAnsi="Arial" w:cs="Arial"/>
                <w:b/>
                <w:color w:val="000000"/>
                <w:szCs w:val="22"/>
                <w:lang w:val="el-GR" w:eastAsia="el-GR"/>
              </w:rPr>
            </w:pPr>
            <w:r>
              <w:rPr>
                <w:rFonts w:ascii="Arial" w:hAnsi="Arial" w:cs="Arial"/>
                <w:b/>
                <w:sz w:val="18"/>
                <w:szCs w:val="18"/>
                <w:lang w:val="el-GR"/>
              </w:rPr>
              <w:t xml:space="preserve">Προσαρμοσμένα </w:t>
            </w:r>
            <w:r w:rsidRPr="0042272D">
              <w:rPr>
                <w:rFonts w:ascii="Arial" w:hAnsi="Arial" w:cs="Arial"/>
                <w:b/>
                <w:sz w:val="18"/>
                <w:szCs w:val="18"/>
                <w:lang w:val="el-GR"/>
              </w:rPr>
              <w:t>Καθαρά κέρδη  σε μετόχους της Εταιρείας</w:t>
            </w:r>
          </w:p>
        </w:tc>
        <w:tc>
          <w:tcPr>
            <w:tcW w:w="1961" w:type="dxa"/>
            <w:tcBorders>
              <w:top w:val="nil"/>
              <w:right w:val="nil"/>
            </w:tcBorders>
            <w:shd w:val="clear" w:color="auto" w:fill="F2F2F2" w:themeFill="background1" w:themeFillShade="F2"/>
            <w:vAlign w:val="center"/>
          </w:tcPr>
          <w:p w14:paraId="6BE36A0A" w14:textId="4FE43A9A" w:rsidR="00B95778" w:rsidRPr="002022F8" w:rsidRDefault="00B95778" w:rsidP="00B95778">
            <w:pPr>
              <w:jc w:val="center"/>
              <w:rPr>
                <w:rFonts w:ascii="Arial" w:hAnsi="Arial" w:cs="Arial"/>
                <w:b/>
                <w:color w:val="FF0000"/>
                <w:szCs w:val="22"/>
                <w:lang w:val="el-GR" w:eastAsia="el-GR"/>
              </w:rPr>
            </w:pPr>
            <w:r w:rsidRPr="00E86655">
              <w:rPr>
                <w:rFonts w:ascii="Arial" w:hAnsi="Arial" w:cs="Arial"/>
                <w:b/>
                <w:bCs/>
                <w:sz w:val="18"/>
                <w:szCs w:val="18"/>
              </w:rPr>
              <w:t>153</w:t>
            </w:r>
            <w:r w:rsidR="00572FD1">
              <w:rPr>
                <w:rFonts w:ascii="Arial" w:hAnsi="Arial" w:cs="Arial"/>
                <w:b/>
                <w:bCs/>
                <w:sz w:val="18"/>
                <w:szCs w:val="18"/>
              </w:rPr>
              <w:t>,</w:t>
            </w:r>
            <w:r w:rsidRPr="00E86655">
              <w:rPr>
                <w:rFonts w:ascii="Arial" w:hAnsi="Arial" w:cs="Arial"/>
                <w:b/>
                <w:bCs/>
                <w:sz w:val="18"/>
                <w:szCs w:val="18"/>
              </w:rPr>
              <w:t>6</w:t>
            </w:r>
          </w:p>
        </w:tc>
        <w:tc>
          <w:tcPr>
            <w:tcW w:w="1961" w:type="dxa"/>
            <w:tcBorders>
              <w:top w:val="nil"/>
              <w:left w:val="nil"/>
            </w:tcBorders>
            <w:shd w:val="clear" w:color="auto" w:fill="F2F2F2" w:themeFill="background1" w:themeFillShade="F2"/>
            <w:vAlign w:val="center"/>
          </w:tcPr>
          <w:p w14:paraId="0E67E9DD" w14:textId="4EE1CBBB" w:rsidR="00B95778" w:rsidRPr="002022F8" w:rsidRDefault="00B95778" w:rsidP="00B95778">
            <w:pPr>
              <w:jc w:val="center"/>
              <w:rPr>
                <w:rFonts w:ascii="Arial" w:hAnsi="Arial" w:cs="Arial"/>
                <w:b/>
                <w:color w:val="FF0000"/>
                <w:szCs w:val="22"/>
                <w:lang w:val="el-GR" w:eastAsia="el-GR"/>
              </w:rPr>
            </w:pPr>
            <w:r w:rsidRPr="00E86655">
              <w:rPr>
                <w:rFonts w:ascii="Arial" w:hAnsi="Arial" w:cs="Arial"/>
                <w:b/>
                <w:bCs/>
                <w:sz w:val="18"/>
                <w:szCs w:val="18"/>
              </w:rPr>
              <w:t>162</w:t>
            </w:r>
            <w:r w:rsidR="00572FD1">
              <w:rPr>
                <w:rFonts w:ascii="Arial" w:hAnsi="Arial" w:cs="Arial"/>
                <w:b/>
                <w:sz w:val="18"/>
                <w:szCs w:val="18"/>
              </w:rPr>
              <w:t>,</w:t>
            </w:r>
            <w:r w:rsidRPr="00E86655">
              <w:rPr>
                <w:rFonts w:ascii="Arial" w:hAnsi="Arial" w:cs="Arial"/>
                <w:b/>
                <w:sz w:val="18"/>
                <w:szCs w:val="18"/>
              </w:rPr>
              <w:t>3</w:t>
            </w:r>
          </w:p>
        </w:tc>
      </w:tr>
    </w:tbl>
    <w:p w14:paraId="3A786AF8" w14:textId="77777777" w:rsidR="00203138" w:rsidRDefault="00203138">
      <w:pPr>
        <w:rPr>
          <w:rFonts w:ascii="Arial" w:eastAsia="Times New Roman" w:hAnsi="Arial" w:cs="Arial"/>
          <w:szCs w:val="20"/>
          <w:lang w:val="en-US" w:eastAsia="el-GR"/>
        </w:rPr>
      </w:pPr>
      <w:r>
        <w:rPr>
          <w:rFonts w:ascii="Arial" w:hAnsi="Arial" w:cs="Arial"/>
          <w:lang w:eastAsia="el-GR"/>
        </w:rPr>
        <w:br w:type="page"/>
      </w:r>
    </w:p>
    <w:p w14:paraId="6D990909" w14:textId="52C68125" w:rsidR="0009084A" w:rsidRPr="00FB20CB" w:rsidRDefault="0009084A" w:rsidP="00097EA2">
      <w:pPr>
        <w:pStyle w:val="Normal2"/>
        <w:numPr>
          <w:ilvl w:val="0"/>
          <w:numId w:val="0"/>
        </w:numPr>
        <w:tabs>
          <w:tab w:val="num" w:pos="709"/>
        </w:tabs>
        <w:ind w:left="567" w:hanging="283"/>
        <w:rPr>
          <w:rFonts w:cs="Arial"/>
        </w:rPr>
      </w:pPr>
      <w:r w:rsidRPr="00FB20CB">
        <w:rPr>
          <w:rFonts w:cs="Arial"/>
        </w:rPr>
        <w:lastRenderedPageBreak/>
        <w:t xml:space="preserve">ΙΙ . ΚΑΤΑΣΤΑΣΗ ΧΡΗΜΑΤΟΟΙΚΟΝΟΜΙΚΗΣ ΘΕΣΗΣ </w:t>
      </w:r>
    </w:p>
    <w:tbl>
      <w:tblPr>
        <w:tblStyle w:val="TableGrid"/>
        <w:tblW w:w="10490"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379"/>
        <w:gridCol w:w="1985"/>
        <w:gridCol w:w="2126"/>
      </w:tblGrid>
      <w:tr w:rsidR="002620CF" w:rsidRPr="00872FD9" w14:paraId="5115B089" w14:textId="77777777" w:rsidTr="00872FD9">
        <w:trPr>
          <w:trHeight w:val="57"/>
        </w:trPr>
        <w:tc>
          <w:tcPr>
            <w:tcW w:w="6379" w:type="dxa"/>
            <w:tcBorders>
              <w:top w:val="nil"/>
              <w:bottom w:val="single" w:sz="2" w:space="0" w:color="808080" w:themeColor="background1" w:themeShade="80"/>
            </w:tcBorders>
            <w:vAlign w:val="center"/>
          </w:tcPr>
          <w:p w14:paraId="3101055A" w14:textId="3DE43F9C" w:rsidR="002620CF" w:rsidRPr="00872FD9" w:rsidRDefault="002620CF" w:rsidP="002620CF">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rPr>
              <w:t>(</w:t>
            </w:r>
            <w:r w:rsidRPr="00872FD9">
              <w:rPr>
                <w:rFonts w:ascii="Arial" w:hAnsi="Arial" w:cs="Arial"/>
                <w:b/>
                <w:sz w:val="18"/>
                <w:szCs w:val="18"/>
                <w:lang w:val="el-GR"/>
              </w:rPr>
              <w:t>Ευρώ εκατ.</w:t>
            </w:r>
            <w:r w:rsidRPr="00872FD9">
              <w:rPr>
                <w:rFonts w:ascii="Arial" w:hAnsi="Arial" w:cs="Arial"/>
                <w:b/>
                <w:sz w:val="18"/>
                <w:szCs w:val="18"/>
              </w:rPr>
              <w:t>)</w:t>
            </w:r>
          </w:p>
        </w:tc>
        <w:tc>
          <w:tcPr>
            <w:tcW w:w="1985" w:type="dxa"/>
            <w:tcBorders>
              <w:top w:val="nil"/>
              <w:bottom w:val="single" w:sz="2" w:space="0" w:color="808080" w:themeColor="background1" w:themeShade="80"/>
            </w:tcBorders>
            <w:vAlign w:val="center"/>
          </w:tcPr>
          <w:p w14:paraId="6B9AA66D" w14:textId="25D3EEE5" w:rsidR="002620CF" w:rsidRPr="002022F8" w:rsidRDefault="002022F8"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Pr>
                <w:rFonts w:ascii="Arial" w:hAnsi="Arial" w:cs="Arial"/>
                <w:b/>
                <w:color w:val="000000" w:themeColor="text1"/>
                <w:sz w:val="18"/>
                <w:szCs w:val="18"/>
                <w:lang w:val="el-GR"/>
              </w:rPr>
              <w:t>31/03/2026</w:t>
            </w:r>
          </w:p>
        </w:tc>
        <w:tc>
          <w:tcPr>
            <w:tcW w:w="2126" w:type="dxa"/>
            <w:tcBorders>
              <w:top w:val="nil"/>
              <w:bottom w:val="single" w:sz="2" w:space="0" w:color="808080" w:themeColor="background1" w:themeShade="80"/>
            </w:tcBorders>
            <w:vAlign w:val="center"/>
          </w:tcPr>
          <w:p w14:paraId="26EF9AE3" w14:textId="5A6C642E" w:rsidR="002620CF" w:rsidRPr="002022F8" w:rsidRDefault="002620CF"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sidRPr="00872FD9">
              <w:rPr>
                <w:rFonts w:ascii="Arial" w:hAnsi="Arial" w:cs="Arial"/>
                <w:b/>
                <w:color w:val="000000" w:themeColor="text1"/>
                <w:sz w:val="18"/>
                <w:szCs w:val="18"/>
              </w:rPr>
              <w:t>31/12/202</w:t>
            </w:r>
            <w:r w:rsidR="002022F8">
              <w:rPr>
                <w:rFonts w:ascii="Arial" w:hAnsi="Arial" w:cs="Arial"/>
                <w:b/>
                <w:color w:val="000000" w:themeColor="text1"/>
                <w:sz w:val="18"/>
                <w:szCs w:val="18"/>
                <w:lang w:val="el-GR"/>
              </w:rPr>
              <w:t>5</w:t>
            </w:r>
          </w:p>
        </w:tc>
      </w:tr>
      <w:tr w:rsidR="0009084A" w:rsidRPr="00872FD9" w14:paraId="204E0BED" w14:textId="77777777" w:rsidTr="0009084A">
        <w:trPr>
          <w:trHeight w:val="163"/>
        </w:trPr>
        <w:tc>
          <w:tcPr>
            <w:tcW w:w="6379" w:type="dxa"/>
            <w:tcBorders>
              <w:top w:val="single" w:sz="2" w:space="0" w:color="808080" w:themeColor="background1" w:themeShade="80"/>
            </w:tcBorders>
            <w:vAlign w:val="center"/>
          </w:tcPr>
          <w:p w14:paraId="734B9562" w14:textId="015DDF0F" w:rsidR="0009084A" w:rsidRPr="00872FD9"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ΠΕΡΙΟΥΣΙΑΚΑ ΣΤΟΙΧΕΙΑ</w:t>
            </w:r>
          </w:p>
        </w:tc>
        <w:tc>
          <w:tcPr>
            <w:tcW w:w="1985" w:type="dxa"/>
            <w:tcBorders>
              <w:top w:val="single" w:sz="2" w:space="0" w:color="808080" w:themeColor="background1" w:themeShade="80"/>
            </w:tcBorders>
            <w:vAlign w:val="center"/>
          </w:tcPr>
          <w:p w14:paraId="66514E79"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tcBorders>
            <w:vAlign w:val="center"/>
          </w:tcPr>
          <w:p w14:paraId="583C6726"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09084A" w:rsidRPr="00872FD9" w14:paraId="57C8DB12" w14:textId="77777777" w:rsidTr="0009084A">
        <w:trPr>
          <w:trHeight w:val="214"/>
        </w:trPr>
        <w:tc>
          <w:tcPr>
            <w:tcW w:w="6379" w:type="dxa"/>
            <w:tcBorders>
              <w:bottom w:val="nil"/>
            </w:tcBorders>
            <w:vAlign w:val="center"/>
          </w:tcPr>
          <w:p w14:paraId="5FE5DD59" w14:textId="7450343E" w:rsidR="0009084A" w:rsidRPr="00872FD9"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Μη κυκλοφορούντα περιουσιακά στοιχεία</w:t>
            </w:r>
          </w:p>
        </w:tc>
        <w:tc>
          <w:tcPr>
            <w:tcW w:w="1985" w:type="dxa"/>
            <w:tcBorders>
              <w:bottom w:val="nil"/>
            </w:tcBorders>
            <w:vAlign w:val="center"/>
          </w:tcPr>
          <w:p w14:paraId="565B7E5F"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bottom w:val="nil"/>
            </w:tcBorders>
            <w:vAlign w:val="center"/>
          </w:tcPr>
          <w:p w14:paraId="0F0BEE7D" w14:textId="77777777" w:rsidR="0009084A" w:rsidRPr="00872FD9"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DC2985" w:rsidRPr="00872FD9" w14:paraId="11004BB0" w14:textId="77777777" w:rsidTr="0009084A">
        <w:trPr>
          <w:trHeight w:val="196"/>
        </w:trPr>
        <w:tc>
          <w:tcPr>
            <w:tcW w:w="6379" w:type="dxa"/>
            <w:tcBorders>
              <w:top w:val="nil"/>
              <w:bottom w:val="nil"/>
            </w:tcBorders>
            <w:shd w:val="clear" w:color="auto" w:fill="FFFFFF" w:themeFill="background1"/>
          </w:tcPr>
          <w:p w14:paraId="7C1F1912" w14:textId="43F114F3"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Ενσώματα πάγια</w:t>
            </w:r>
          </w:p>
        </w:tc>
        <w:tc>
          <w:tcPr>
            <w:tcW w:w="1985" w:type="dxa"/>
            <w:tcBorders>
              <w:top w:val="nil"/>
              <w:bottom w:val="nil"/>
            </w:tcBorders>
            <w:shd w:val="clear" w:color="auto" w:fill="FFFFFF" w:themeFill="background1"/>
            <w:vAlign w:val="center"/>
          </w:tcPr>
          <w:p w14:paraId="59E0AA6D" w14:textId="7DEA3BB9"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w:t>
            </w:r>
            <w:r w:rsidR="00454299">
              <w:rPr>
                <w:rFonts w:ascii="Arial" w:hAnsi="Arial" w:cs="Arial"/>
                <w:color w:val="000000"/>
                <w:sz w:val="18"/>
                <w:szCs w:val="18"/>
              </w:rPr>
              <w:t>.</w:t>
            </w:r>
            <w:r>
              <w:rPr>
                <w:rFonts w:ascii="Arial" w:hAnsi="Arial" w:cs="Arial"/>
                <w:color w:val="000000"/>
                <w:sz w:val="18"/>
                <w:szCs w:val="18"/>
              </w:rPr>
              <w:t>305</w:t>
            </w:r>
            <w:r w:rsidR="00454299">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AF70179" w14:textId="51C9ED6E"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sz w:val="18"/>
                <w:szCs w:val="18"/>
              </w:rPr>
              <w:t>2</w:t>
            </w:r>
            <w:r w:rsidR="00454299">
              <w:rPr>
                <w:rFonts w:ascii="Arial" w:hAnsi="Arial" w:cs="Arial"/>
                <w:sz w:val="18"/>
                <w:szCs w:val="18"/>
              </w:rPr>
              <w:t>.</w:t>
            </w:r>
            <w:r w:rsidRPr="000147AB">
              <w:rPr>
                <w:rFonts w:ascii="Arial" w:hAnsi="Arial" w:cs="Arial"/>
                <w:sz w:val="18"/>
                <w:szCs w:val="18"/>
              </w:rPr>
              <w:t>304</w:t>
            </w:r>
            <w:r w:rsidR="00454299">
              <w:rPr>
                <w:rFonts w:ascii="Arial" w:hAnsi="Arial" w:cs="Arial"/>
                <w:sz w:val="18"/>
                <w:szCs w:val="18"/>
              </w:rPr>
              <w:t>,</w:t>
            </w:r>
            <w:r w:rsidRPr="000147AB">
              <w:rPr>
                <w:rFonts w:ascii="Arial" w:hAnsi="Arial" w:cs="Arial"/>
                <w:sz w:val="18"/>
                <w:szCs w:val="18"/>
              </w:rPr>
              <w:t xml:space="preserve">6 </w:t>
            </w:r>
          </w:p>
        </w:tc>
      </w:tr>
      <w:tr w:rsidR="00DC2985" w:rsidRPr="00872FD9" w14:paraId="3CE3A7AC" w14:textId="77777777" w:rsidTr="00872FD9">
        <w:trPr>
          <w:trHeight w:val="168"/>
        </w:trPr>
        <w:tc>
          <w:tcPr>
            <w:tcW w:w="6379" w:type="dxa"/>
            <w:tcBorders>
              <w:top w:val="nil"/>
              <w:bottom w:val="nil"/>
            </w:tcBorders>
            <w:shd w:val="clear" w:color="auto" w:fill="FFFFFF" w:themeFill="background1"/>
          </w:tcPr>
          <w:p w14:paraId="74B2B517" w14:textId="12BD93CF"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Περιουσιακά στοιχεία με δικαίωμα χρήσης</w:t>
            </w:r>
          </w:p>
        </w:tc>
        <w:tc>
          <w:tcPr>
            <w:tcW w:w="1985" w:type="dxa"/>
            <w:tcBorders>
              <w:top w:val="nil"/>
              <w:bottom w:val="nil"/>
            </w:tcBorders>
            <w:shd w:val="clear" w:color="auto" w:fill="FFFFFF" w:themeFill="background1"/>
            <w:vAlign w:val="center"/>
          </w:tcPr>
          <w:p w14:paraId="4ABA7E2E" w14:textId="6C5A72A3"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216</w:t>
            </w:r>
            <w:r w:rsidR="00454299">
              <w:rPr>
                <w:rFonts w:ascii="Arial" w:hAnsi="Arial" w:cs="Arial"/>
                <w:color w:val="000000"/>
                <w:sz w:val="18"/>
                <w:szCs w:val="18"/>
              </w:rPr>
              <w:t>,</w:t>
            </w:r>
            <w:r>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6F878419" w14:textId="6953C0C2"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sz w:val="18"/>
                <w:szCs w:val="18"/>
              </w:rPr>
              <w:t>222</w:t>
            </w:r>
            <w:r w:rsidR="00454299">
              <w:rPr>
                <w:rFonts w:ascii="Arial" w:hAnsi="Arial" w:cs="Arial"/>
                <w:sz w:val="18"/>
                <w:szCs w:val="18"/>
              </w:rPr>
              <w:t>,</w:t>
            </w:r>
            <w:r w:rsidRPr="000147AB">
              <w:rPr>
                <w:rFonts w:ascii="Arial" w:hAnsi="Arial" w:cs="Arial"/>
                <w:sz w:val="18"/>
                <w:szCs w:val="18"/>
              </w:rPr>
              <w:t xml:space="preserve">1 </w:t>
            </w:r>
          </w:p>
        </w:tc>
      </w:tr>
      <w:tr w:rsidR="00DC2985" w:rsidRPr="00872FD9" w14:paraId="5599A61A" w14:textId="77777777" w:rsidTr="00872FD9">
        <w:trPr>
          <w:trHeight w:val="99"/>
        </w:trPr>
        <w:tc>
          <w:tcPr>
            <w:tcW w:w="6379" w:type="dxa"/>
            <w:tcBorders>
              <w:top w:val="nil"/>
              <w:bottom w:val="nil"/>
            </w:tcBorders>
            <w:shd w:val="clear" w:color="auto" w:fill="FFFFFF" w:themeFill="background1"/>
          </w:tcPr>
          <w:p w14:paraId="7F18F69C" w14:textId="0DDC2466"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Υπεραξία</w:t>
            </w:r>
          </w:p>
        </w:tc>
        <w:tc>
          <w:tcPr>
            <w:tcW w:w="1985" w:type="dxa"/>
            <w:tcBorders>
              <w:top w:val="nil"/>
              <w:bottom w:val="nil"/>
            </w:tcBorders>
            <w:shd w:val="clear" w:color="auto" w:fill="FFFFFF" w:themeFill="background1"/>
            <w:vAlign w:val="center"/>
          </w:tcPr>
          <w:p w14:paraId="2BCE1924" w14:textId="7A9288F2"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376</w:t>
            </w:r>
            <w:r w:rsidR="00454299">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CA73499" w14:textId="30C89DF5"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sz w:val="18"/>
                <w:szCs w:val="18"/>
              </w:rPr>
              <w:t>376</w:t>
            </w:r>
            <w:r w:rsidR="00454299">
              <w:rPr>
                <w:rFonts w:ascii="Arial" w:hAnsi="Arial" w:cs="Arial"/>
                <w:sz w:val="18"/>
                <w:szCs w:val="18"/>
              </w:rPr>
              <w:t>,</w:t>
            </w:r>
            <w:r w:rsidRPr="000147AB">
              <w:rPr>
                <w:rFonts w:ascii="Arial" w:hAnsi="Arial" w:cs="Arial"/>
                <w:sz w:val="18"/>
                <w:szCs w:val="18"/>
              </w:rPr>
              <w:t xml:space="preserve">6 </w:t>
            </w:r>
          </w:p>
        </w:tc>
      </w:tr>
      <w:tr w:rsidR="00DC2985" w:rsidRPr="00872FD9" w14:paraId="43A611AD" w14:textId="77777777" w:rsidTr="0009084A">
        <w:trPr>
          <w:trHeight w:val="256"/>
        </w:trPr>
        <w:tc>
          <w:tcPr>
            <w:tcW w:w="6379" w:type="dxa"/>
            <w:tcBorders>
              <w:top w:val="nil"/>
              <w:bottom w:val="nil"/>
            </w:tcBorders>
            <w:shd w:val="clear" w:color="auto" w:fill="FFFFFF" w:themeFill="background1"/>
          </w:tcPr>
          <w:p w14:paraId="7746E805" w14:textId="516D195F"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Τηλεπικοινωνιακές άδειες</w:t>
            </w:r>
          </w:p>
        </w:tc>
        <w:tc>
          <w:tcPr>
            <w:tcW w:w="1985" w:type="dxa"/>
            <w:tcBorders>
              <w:top w:val="nil"/>
              <w:bottom w:val="nil"/>
            </w:tcBorders>
            <w:shd w:val="clear" w:color="auto" w:fill="FFFFFF" w:themeFill="background1"/>
            <w:vAlign w:val="center"/>
          </w:tcPr>
          <w:p w14:paraId="6B17826E" w14:textId="631D6F19"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187</w:t>
            </w:r>
            <w:r w:rsidR="00454299">
              <w:rPr>
                <w:rFonts w:ascii="Arial" w:hAnsi="Arial" w:cs="Arial"/>
                <w:color w:val="000000"/>
                <w:sz w:val="18"/>
                <w:szCs w:val="18"/>
              </w:rPr>
              <w:t>,</w:t>
            </w:r>
            <w:r>
              <w:rPr>
                <w:rFonts w:ascii="Arial" w:hAnsi="Arial" w:cs="Arial"/>
                <w:color w:val="000000"/>
                <w:sz w:val="18"/>
                <w:szCs w:val="18"/>
              </w:rPr>
              <w:t>3</w:t>
            </w:r>
          </w:p>
        </w:tc>
        <w:tc>
          <w:tcPr>
            <w:tcW w:w="2126" w:type="dxa"/>
            <w:tcBorders>
              <w:top w:val="nil"/>
              <w:bottom w:val="nil"/>
            </w:tcBorders>
            <w:shd w:val="clear" w:color="auto" w:fill="FFFFFF" w:themeFill="background1"/>
            <w:vAlign w:val="center"/>
          </w:tcPr>
          <w:p w14:paraId="7FF3B650" w14:textId="4654DD35"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sz w:val="18"/>
                <w:szCs w:val="18"/>
              </w:rPr>
              <w:t>195</w:t>
            </w:r>
            <w:r w:rsidR="00454299">
              <w:rPr>
                <w:rFonts w:ascii="Arial" w:hAnsi="Arial" w:cs="Arial"/>
                <w:sz w:val="18"/>
                <w:szCs w:val="18"/>
              </w:rPr>
              <w:t>,</w:t>
            </w:r>
            <w:r w:rsidRPr="000147AB">
              <w:rPr>
                <w:rFonts w:ascii="Arial" w:hAnsi="Arial" w:cs="Arial"/>
                <w:sz w:val="18"/>
                <w:szCs w:val="18"/>
              </w:rPr>
              <w:t xml:space="preserve">4 </w:t>
            </w:r>
          </w:p>
        </w:tc>
      </w:tr>
      <w:tr w:rsidR="00DC2985" w:rsidRPr="00872FD9" w14:paraId="4D498E2F" w14:textId="77777777" w:rsidTr="0009084A">
        <w:trPr>
          <w:trHeight w:val="256"/>
        </w:trPr>
        <w:tc>
          <w:tcPr>
            <w:tcW w:w="6379" w:type="dxa"/>
            <w:tcBorders>
              <w:top w:val="nil"/>
              <w:bottom w:val="nil"/>
            </w:tcBorders>
            <w:shd w:val="clear" w:color="auto" w:fill="FFFFFF" w:themeFill="background1"/>
          </w:tcPr>
          <w:p w14:paraId="26DE98B5" w14:textId="617333D1"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Λοιπά άυλα περιουσιακά στοιχεία</w:t>
            </w:r>
          </w:p>
        </w:tc>
        <w:tc>
          <w:tcPr>
            <w:tcW w:w="1985" w:type="dxa"/>
            <w:tcBorders>
              <w:top w:val="nil"/>
              <w:bottom w:val="nil"/>
            </w:tcBorders>
            <w:shd w:val="clear" w:color="auto" w:fill="FFFFFF" w:themeFill="background1"/>
            <w:vAlign w:val="center"/>
          </w:tcPr>
          <w:p w14:paraId="1DEB1722" w14:textId="48D5C20C"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259</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5EE333DD" w14:textId="5BEBC13F"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sz w:val="18"/>
                <w:szCs w:val="18"/>
              </w:rPr>
              <w:t>270</w:t>
            </w:r>
            <w:r w:rsidR="00454299">
              <w:rPr>
                <w:rFonts w:ascii="Arial" w:hAnsi="Arial" w:cs="Arial"/>
                <w:sz w:val="18"/>
                <w:szCs w:val="18"/>
              </w:rPr>
              <w:t>,</w:t>
            </w:r>
            <w:r w:rsidRPr="000147AB">
              <w:rPr>
                <w:rFonts w:ascii="Arial" w:hAnsi="Arial" w:cs="Arial"/>
                <w:sz w:val="18"/>
                <w:szCs w:val="18"/>
              </w:rPr>
              <w:t xml:space="preserve">9 </w:t>
            </w:r>
          </w:p>
        </w:tc>
      </w:tr>
      <w:tr w:rsidR="00DC2985" w:rsidRPr="00872FD9" w14:paraId="73C410FD" w14:textId="77777777" w:rsidTr="0009084A">
        <w:trPr>
          <w:trHeight w:val="256"/>
        </w:trPr>
        <w:tc>
          <w:tcPr>
            <w:tcW w:w="6379" w:type="dxa"/>
            <w:tcBorders>
              <w:top w:val="nil"/>
              <w:bottom w:val="nil"/>
            </w:tcBorders>
            <w:shd w:val="clear" w:color="auto" w:fill="FFFFFF" w:themeFill="background1"/>
          </w:tcPr>
          <w:p w14:paraId="1A38D30E" w14:textId="1B97BEC2"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Συμμετοχές</w:t>
            </w:r>
          </w:p>
        </w:tc>
        <w:tc>
          <w:tcPr>
            <w:tcW w:w="1985" w:type="dxa"/>
            <w:tcBorders>
              <w:top w:val="nil"/>
              <w:bottom w:val="nil"/>
            </w:tcBorders>
            <w:shd w:val="clear" w:color="auto" w:fill="FFFFFF" w:themeFill="background1"/>
            <w:vAlign w:val="center"/>
          </w:tcPr>
          <w:p w14:paraId="558D2105" w14:textId="7D337571"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0</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2238AFFC" w14:textId="7ADF4EE0"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0</w:t>
            </w:r>
            <w:r w:rsidR="00454299">
              <w:rPr>
                <w:rFonts w:ascii="Arial" w:hAnsi="Arial" w:cs="Arial"/>
                <w:sz w:val="18"/>
                <w:szCs w:val="18"/>
              </w:rPr>
              <w:t>,</w:t>
            </w:r>
            <w:r w:rsidRPr="000147AB">
              <w:rPr>
                <w:rFonts w:ascii="Arial" w:hAnsi="Arial" w:cs="Arial"/>
                <w:sz w:val="18"/>
                <w:szCs w:val="18"/>
              </w:rPr>
              <w:t xml:space="preserve">1 </w:t>
            </w:r>
          </w:p>
        </w:tc>
      </w:tr>
      <w:tr w:rsidR="00DC2985" w:rsidRPr="00872FD9" w14:paraId="2DDD8ECE" w14:textId="77777777" w:rsidTr="0009084A">
        <w:trPr>
          <w:trHeight w:val="256"/>
        </w:trPr>
        <w:tc>
          <w:tcPr>
            <w:tcW w:w="6379" w:type="dxa"/>
            <w:tcBorders>
              <w:top w:val="nil"/>
              <w:bottom w:val="nil"/>
            </w:tcBorders>
            <w:shd w:val="clear" w:color="auto" w:fill="FFFFFF" w:themeFill="background1"/>
          </w:tcPr>
          <w:p w14:paraId="17559F7B" w14:textId="277DC62F"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Δάνεια σε ασφαλιστικά ταμεία</w:t>
            </w:r>
          </w:p>
        </w:tc>
        <w:tc>
          <w:tcPr>
            <w:tcW w:w="1985" w:type="dxa"/>
            <w:tcBorders>
              <w:top w:val="nil"/>
              <w:bottom w:val="nil"/>
            </w:tcBorders>
            <w:shd w:val="clear" w:color="auto" w:fill="FFFFFF" w:themeFill="background1"/>
            <w:vAlign w:val="center"/>
          </w:tcPr>
          <w:p w14:paraId="1E35517E" w14:textId="6CD70693"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51</w:t>
            </w:r>
            <w:r w:rsidR="00454299">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7E842071" w14:textId="5848EBB5"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52</w:t>
            </w:r>
            <w:r w:rsidR="00454299">
              <w:rPr>
                <w:rFonts w:ascii="Arial" w:hAnsi="Arial" w:cs="Arial"/>
                <w:sz w:val="18"/>
                <w:szCs w:val="18"/>
              </w:rPr>
              <w:t>,</w:t>
            </w:r>
            <w:r w:rsidRPr="000147AB">
              <w:rPr>
                <w:rFonts w:ascii="Arial" w:hAnsi="Arial" w:cs="Arial"/>
                <w:sz w:val="18"/>
                <w:szCs w:val="18"/>
              </w:rPr>
              <w:t xml:space="preserve">1 </w:t>
            </w:r>
          </w:p>
        </w:tc>
      </w:tr>
      <w:tr w:rsidR="00DC2985" w:rsidRPr="00872FD9" w14:paraId="3300ADD4" w14:textId="77777777" w:rsidTr="0009084A">
        <w:trPr>
          <w:trHeight w:val="256"/>
        </w:trPr>
        <w:tc>
          <w:tcPr>
            <w:tcW w:w="6379" w:type="dxa"/>
            <w:tcBorders>
              <w:top w:val="nil"/>
              <w:bottom w:val="nil"/>
            </w:tcBorders>
            <w:shd w:val="clear" w:color="auto" w:fill="FFFFFF" w:themeFill="background1"/>
          </w:tcPr>
          <w:p w14:paraId="0855934E" w14:textId="1F28CB46"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Αναβαλλόμενες φορολογικές απαιτήσεις</w:t>
            </w:r>
          </w:p>
        </w:tc>
        <w:tc>
          <w:tcPr>
            <w:tcW w:w="1985" w:type="dxa"/>
            <w:tcBorders>
              <w:top w:val="nil"/>
              <w:bottom w:val="nil"/>
            </w:tcBorders>
            <w:shd w:val="clear" w:color="auto" w:fill="FFFFFF" w:themeFill="background1"/>
            <w:vAlign w:val="center"/>
          </w:tcPr>
          <w:p w14:paraId="7C68686F" w14:textId="6458A5A3"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133</w:t>
            </w:r>
            <w:r w:rsidR="00454299">
              <w:rPr>
                <w:rFonts w:ascii="Arial" w:hAnsi="Arial" w:cs="Arial"/>
                <w:color w:val="000000"/>
                <w:sz w:val="18"/>
                <w:szCs w:val="18"/>
              </w:rPr>
              <w:t>,</w:t>
            </w:r>
            <w:r>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4C7B588B" w14:textId="5A4003AC"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132</w:t>
            </w:r>
            <w:r w:rsidR="00454299">
              <w:rPr>
                <w:rFonts w:ascii="Arial" w:hAnsi="Arial" w:cs="Arial"/>
                <w:sz w:val="18"/>
                <w:szCs w:val="18"/>
              </w:rPr>
              <w:t>,</w:t>
            </w:r>
            <w:r w:rsidRPr="000147AB">
              <w:rPr>
                <w:rFonts w:ascii="Arial" w:hAnsi="Arial" w:cs="Arial"/>
                <w:sz w:val="18"/>
                <w:szCs w:val="18"/>
              </w:rPr>
              <w:t xml:space="preserve">7 </w:t>
            </w:r>
          </w:p>
        </w:tc>
      </w:tr>
      <w:tr w:rsidR="00DC2985" w:rsidRPr="00872FD9" w14:paraId="235CD5CF" w14:textId="77777777" w:rsidTr="0009084A">
        <w:trPr>
          <w:trHeight w:val="256"/>
        </w:trPr>
        <w:tc>
          <w:tcPr>
            <w:tcW w:w="6379" w:type="dxa"/>
            <w:tcBorders>
              <w:top w:val="nil"/>
              <w:bottom w:val="nil"/>
            </w:tcBorders>
            <w:shd w:val="clear" w:color="auto" w:fill="FFFFFF" w:themeFill="background1"/>
          </w:tcPr>
          <w:p w14:paraId="3126948A" w14:textId="7B0AF9DE"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Κόστος συμβάσεων</w:t>
            </w:r>
          </w:p>
        </w:tc>
        <w:tc>
          <w:tcPr>
            <w:tcW w:w="1985" w:type="dxa"/>
            <w:tcBorders>
              <w:top w:val="nil"/>
              <w:bottom w:val="nil"/>
            </w:tcBorders>
            <w:shd w:val="clear" w:color="auto" w:fill="FFFFFF" w:themeFill="background1"/>
            <w:vAlign w:val="center"/>
          </w:tcPr>
          <w:p w14:paraId="37D00177" w14:textId="11DE9FDC"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14</w:t>
            </w:r>
            <w:r w:rsidR="00454299">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41D4FF8F" w14:textId="45D5D5A4"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18</w:t>
            </w:r>
            <w:r w:rsidR="00454299">
              <w:rPr>
                <w:rFonts w:ascii="Arial" w:hAnsi="Arial" w:cs="Arial"/>
                <w:sz w:val="18"/>
                <w:szCs w:val="18"/>
              </w:rPr>
              <w:t>,</w:t>
            </w:r>
            <w:r w:rsidRPr="000147AB">
              <w:rPr>
                <w:rFonts w:ascii="Arial" w:hAnsi="Arial" w:cs="Arial"/>
                <w:sz w:val="18"/>
                <w:szCs w:val="18"/>
              </w:rPr>
              <w:t xml:space="preserve">0 </w:t>
            </w:r>
          </w:p>
        </w:tc>
      </w:tr>
      <w:tr w:rsidR="00DC2985" w:rsidRPr="00872FD9" w14:paraId="4FFBB44B" w14:textId="77777777" w:rsidTr="00872FD9">
        <w:trPr>
          <w:trHeight w:val="112"/>
        </w:trPr>
        <w:tc>
          <w:tcPr>
            <w:tcW w:w="6379" w:type="dxa"/>
            <w:tcBorders>
              <w:top w:val="nil"/>
              <w:bottom w:val="single" w:sz="2" w:space="0" w:color="808080" w:themeColor="background1" w:themeShade="80"/>
            </w:tcBorders>
            <w:shd w:val="clear" w:color="auto" w:fill="FFFFFF" w:themeFill="background1"/>
          </w:tcPr>
          <w:p w14:paraId="2C669310" w14:textId="6F20B7C0"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Λοιπά μη κυκλοφορούντα περιουσιακά στοιχεία</w:t>
            </w:r>
          </w:p>
        </w:tc>
        <w:tc>
          <w:tcPr>
            <w:tcW w:w="1985" w:type="dxa"/>
            <w:tcBorders>
              <w:top w:val="nil"/>
              <w:bottom w:val="single" w:sz="2" w:space="0" w:color="808080" w:themeColor="background1" w:themeShade="80"/>
            </w:tcBorders>
            <w:shd w:val="clear" w:color="auto" w:fill="FFFFFF" w:themeFill="background1"/>
            <w:vAlign w:val="center"/>
          </w:tcPr>
          <w:p w14:paraId="34D23617" w14:textId="24702BE4"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68</w:t>
            </w:r>
            <w:r w:rsidR="00454299">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single" w:sz="2" w:space="0" w:color="808080" w:themeColor="background1" w:themeShade="80"/>
            </w:tcBorders>
            <w:shd w:val="clear" w:color="auto" w:fill="FFFFFF" w:themeFill="background1"/>
            <w:vAlign w:val="center"/>
          </w:tcPr>
          <w:p w14:paraId="7F71E8C4" w14:textId="719622FD"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71</w:t>
            </w:r>
            <w:r w:rsidR="00454299">
              <w:rPr>
                <w:rFonts w:ascii="Arial" w:hAnsi="Arial" w:cs="Arial"/>
                <w:sz w:val="18"/>
                <w:szCs w:val="18"/>
              </w:rPr>
              <w:t>,</w:t>
            </w:r>
            <w:r w:rsidRPr="000147AB">
              <w:rPr>
                <w:rFonts w:ascii="Arial" w:hAnsi="Arial" w:cs="Arial"/>
                <w:sz w:val="18"/>
                <w:szCs w:val="18"/>
              </w:rPr>
              <w:t xml:space="preserve">8 </w:t>
            </w:r>
          </w:p>
        </w:tc>
      </w:tr>
      <w:tr w:rsidR="00DC2985" w:rsidRPr="00872FD9" w14:paraId="057FD65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984A35" w14:textId="55363590"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sz w:val="18"/>
                <w:szCs w:val="18"/>
                <w:lang w:val="el-GR"/>
              </w:rPr>
              <w:t>Σύνολο μη κυκλοφορούντων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ECCA98" w14:textId="6B6A0AC5" w:rsidR="00DC2985" w:rsidRPr="00872FD9" w:rsidRDefault="00DC2985" w:rsidP="00DC2985">
            <w:pPr>
              <w:pStyle w:val="ColorfulList-Accent11"/>
              <w:tabs>
                <w:tab w:val="left" w:pos="0"/>
                <w:tab w:val="left" w:pos="284"/>
              </w:tabs>
              <w:ind w:left="0" w:right="-90"/>
              <w:jc w:val="right"/>
              <w:rPr>
                <w:rFonts w:ascii="Arial" w:hAnsi="Arial" w:cs="Arial"/>
                <w:b/>
                <w:bCs/>
                <w:color w:val="000000" w:themeColor="text1"/>
                <w:sz w:val="18"/>
                <w:szCs w:val="18"/>
              </w:rPr>
            </w:pPr>
            <w:r w:rsidRPr="00FE39BF">
              <w:rPr>
                <w:rFonts w:ascii="Arial" w:hAnsi="Arial" w:cs="Arial"/>
                <w:b/>
                <w:color w:val="FF0000"/>
                <w:sz w:val="18"/>
                <w:szCs w:val="18"/>
                <w:lang w:val="el-GR"/>
              </w:rPr>
              <w:t xml:space="preserve">                  </w:t>
            </w:r>
            <w:r>
              <w:rPr>
                <w:rFonts w:ascii="Arial" w:hAnsi="Arial" w:cs="Arial"/>
                <w:b/>
                <w:bCs/>
                <w:color w:val="FF0000"/>
                <w:sz w:val="18"/>
                <w:szCs w:val="18"/>
                <w:lang w:val="el-GR"/>
              </w:rPr>
              <w:t xml:space="preserve">   </w:t>
            </w:r>
            <w:r w:rsidRPr="00FE39BF">
              <w:rPr>
                <w:rFonts w:ascii="Arial" w:hAnsi="Arial" w:cs="Arial"/>
                <w:b/>
                <w:color w:val="FF0000"/>
                <w:sz w:val="18"/>
                <w:szCs w:val="18"/>
                <w:lang w:val="el-GR"/>
              </w:rPr>
              <w:t xml:space="preserve"> </w:t>
            </w:r>
            <w:r w:rsidRPr="000147AB">
              <w:rPr>
                <w:rFonts w:ascii="Arial" w:hAnsi="Arial" w:cs="Arial"/>
                <w:b/>
                <w:sz w:val="18"/>
                <w:szCs w:val="18"/>
              </w:rPr>
              <w:t>3</w:t>
            </w:r>
            <w:r w:rsidR="00454299">
              <w:rPr>
                <w:rFonts w:ascii="Arial" w:hAnsi="Arial" w:cs="Arial"/>
                <w:b/>
                <w:sz w:val="18"/>
                <w:szCs w:val="18"/>
              </w:rPr>
              <w:t>.</w:t>
            </w:r>
            <w:r w:rsidRPr="000147AB">
              <w:rPr>
                <w:rFonts w:ascii="Arial" w:hAnsi="Arial" w:cs="Arial"/>
                <w:b/>
                <w:bCs/>
                <w:sz w:val="18"/>
                <w:szCs w:val="18"/>
                <w:lang w:val="el-GR"/>
              </w:rPr>
              <w:t>6</w:t>
            </w:r>
            <w:r>
              <w:rPr>
                <w:rFonts w:ascii="Arial" w:hAnsi="Arial" w:cs="Arial"/>
                <w:b/>
                <w:bCs/>
                <w:sz w:val="18"/>
                <w:szCs w:val="18"/>
              </w:rPr>
              <w:t>13</w:t>
            </w:r>
            <w:r w:rsidR="00454299">
              <w:rPr>
                <w:rFonts w:ascii="Arial" w:hAnsi="Arial" w:cs="Arial"/>
                <w:b/>
                <w:bCs/>
                <w:sz w:val="18"/>
                <w:szCs w:val="18"/>
              </w:rPr>
              <w:t>,</w:t>
            </w:r>
            <w:r>
              <w:rPr>
                <w:rFonts w:ascii="Arial" w:hAnsi="Arial" w:cs="Arial"/>
                <w:b/>
                <w:bCs/>
                <w:sz w:val="18"/>
                <w:szCs w:val="18"/>
              </w:rPr>
              <w:t>8</w:t>
            </w:r>
            <w:r w:rsidRPr="000147AB">
              <w:rPr>
                <w:rFonts w:ascii="Arial" w:hAnsi="Arial" w:cs="Arial"/>
                <w:b/>
                <w:sz w:val="18"/>
                <w:szCs w:val="18"/>
              </w:rPr>
              <w:t xml:space="preserve">  </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250D67" w14:textId="59F3DC74" w:rsidR="00DC2985" w:rsidRPr="00872FD9" w:rsidRDefault="00DC2985" w:rsidP="00DC2985">
            <w:pPr>
              <w:pStyle w:val="ColorfulList-Accent11"/>
              <w:tabs>
                <w:tab w:val="left" w:pos="0"/>
                <w:tab w:val="left" w:pos="284"/>
              </w:tabs>
              <w:ind w:left="0" w:right="-90"/>
              <w:jc w:val="right"/>
              <w:rPr>
                <w:rFonts w:ascii="Arial" w:hAnsi="Arial" w:cs="Arial"/>
                <w:i/>
                <w:color w:val="000000" w:themeColor="text1"/>
                <w:sz w:val="18"/>
                <w:szCs w:val="18"/>
              </w:rPr>
            </w:pPr>
            <w:r w:rsidRPr="000147AB">
              <w:rPr>
                <w:rFonts w:ascii="Arial" w:hAnsi="Arial" w:cs="Arial"/>
                <w:b/>
                <w:sz w:val="18"/>
                <w:szCs w:val="18"/>
              </w:rPr>
              <w:t>3</w:t>
            </w:r>
            <w:r w:rsidR="00454299">
              <w:rPr>
                <w:rFonts w:ascii="Arial" w:hAnsi="Arial" w:cs="Arial"/>
                <w:b/>
                <w:sz w:val="18"/>
                <w:szCs w:val="18"/>
              </w:rPr>
              <w:t>.</w:t>
            </w:r>
            <w:r w:rsidRPr="000147AB">
              <w:rPr>
                <w:rFonts w:ascii="Arial" w:hAnsi="Arial" w:cs="Arial"/>
                <w:b/>
                <w:bCs/>
                <w:sz w:val="18"/>
                <w:szCs w:val="18"/>
                <w:lang w:val="el-GR"/>
              </w:rPr>
              <w:t>644</w:t>
            </w:r>
            <w:r w:rsidR="00454299">
              <w:rPr>
                <w:rFonts w:ascii="Arial" w:hAnsi="Arial" w:cs="Arial"/>
                <w:b/>
                <w:bCs/>
                <w:sz w:val="18"/>
                <w:szCs w:val="18"/>
              </w:rPr>
              <w:t>,</w:t>
            </w:r>
            <w:r w:rsidRPr="000147AB">
              <w:rPr>
                <w:rFonts w:ascii="Arial" w:hAnsi="Arial" w:cs="Arial"/>
                <w:b/>
                <w:bCs/>
                <w:sz w:val="18"/>
                <w:szCs w:val="18"/>
                <w:lang w:val="el-GR"/>
              </w:rPr>
              <w:t>3</w:t>
            </w:r>
          </w:p>
        </w:tc>
      </w:tr>
      <w:tr w:rsidR="00DC2985" w:rsidRPr="00872FD9" w14:paraId="2425FBF6"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7F34459A" w14:textId="1BB1B60C"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Κυκλοφορούντα περιουσιακά στοιχεία</w:t>
            </w:r>
          </w:p>
        </w:tc>
        <w:tc>
          <w:tcPr>
            <w:tcW w:w="1985" w:type="dxa"/>
            <w:tcBorders>
              <w:top w:val="single" w:sz="2" w:space="0" w:color="808080" w:themeColor="background1" w:themeShade="80"/>
              <w:bottom w:val="nil"/>
            </w:tcBorders>
            <w:shd w:val="clear" w:color="auto" w:fill="FFFFFF" w:themeFill="background1"/>
            <w:vAlign w:val="center"/>
          </w:tcPr>
          <w:p w14:paraId="3510B443" w14:textId="77777777"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5CE04E3A" w14:textId="77777777"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rPr>
            </w:pPr>
          </w:p>
        </w:tc>
      </w:tr>
      <w:tr w:rsidR="00DC2985" w:rsidRPr="00872FD9" w14:paraId="232E6021" w14:textId="77777777" w:rsidTr="0009084A">
        <w:trPr>
          <w:trHeight w:val="256"/>
        </w:trPr>
        <w:tc>
          <w:tcPr>
            <w:tcW w:w="6379" w:type="dxa"/>
            <w:tcBorders>
              <w:top w:val="nil"/>
              <w:bottom w:val="nil"/>
            </w:tcBorders>
            <w:shd w:val="clear" w:color="auto" w:fill="FFFFFF" w:themeFill="background1"/>
          </w:tcPr>
          <w:p w14:paraId="50F08412" w14:textId="0BA1B0F2"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Αποθέματα</w:t>
            </w:r>
          </w:p>
        </w:tc>
        <w:tc>
          <w:tcPr>
            <w:tcW w:w="1985" w:type="dxa"/>
            <w:tcBorders>
              <w:top w:val="nil"/>
              <w:bottom w:val="nil"/>
            </w:tcBorders>
            <w:shd w:val="clear" w:color="auto" w:fill="FFFFFF" w:themeFill="background1"/>
            <w:vAlign w:val="center"/>
          </w:tcPr>
          <w:p w14:paraId="0AC07B59" w14:textId="432F1330"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43</w:t>
            </w:r>
            <w:r w:rsidR="00454299">
              <w:rPr>
                <w:rFonts w:ascii="Arial" w:hAnsi="Arial" w:cs="Arial"/>
                <w:color w:val="000000"/>
                <w:sz w:val="18"/>
                <w:szCs w:val="18"/>
              </w:rPr>
              <w:t>,</w:t>
            </w:r>
            <w:r>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1548C15A" w14:textId="1840A801"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39</w:t>
            </w:r>
            <w:r w:rsidR="00454299">
              <w:rPr>
                <w:rFonts w:ascii="Arial" w:hAnsi="Arial" w:cs="Arial"/>
                <w:sz w:val="18"/>
                <w:szCs w:val="18"/>
              </w:rPr>
              <w:t>,</w:t>
            </w:r>
            <w:r w:rsidRPr="000147AB">
              <w:rPr>
                <w:rFonts w:ascii="Arial" w:hAnsi="Arial" w:cs="Arial"/>
                <w:sz w:val="18"/>
                <w:szCs w:val="18"/>
              </w:rPr>
              <w:t xml:space="preserve">9 </w:t>
            </w:r>
          </w:p>
        </w:tc>
      </w:tr>
      <w:tr w:rsidR="00DC2985" w:rsidRPr="00872FD9" w14:paraId="62A2DBF9" w14:textId="77777777" w:rsidTr="0009084A">
        <w:trPr>
          <w:trHeight w:val="256"/>
        </w:trPr>
        <w:tc>
          <w:tcPr>
            <w:tcW w:w="6379" w:type="dxa"/>
            <w:tcBorders>
              <w:top w:val="nil"/>
              <w:bottom w:val="nil"/>
            </w:tcBorders>
            <w:shd w:val="clear" w:color="auto" w:fill="FFFFFF" w:themeFill="background1"/>
          </w:tcPr>
          <w:p w14:paraId="3653CF36" w14:textId="550DEB6F"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Πελάτες</w:t>
            </w:r>
          </w:p>
        </w:tc>
        <w:tc>
          <w:tcPr>
            <w:tcW w:w="1985" w:type="dxa"/>
            <w:tcBorders>
              <w:top w:val="nil"/>
              <w:bottom w:val="nil"/>
            </w:tcBorders>
            <w:shd w:val="clear" w:color="auto" w:fill="FFFFFF" w:themeFill="background1"/>
            <w:vAlign w:val="center"/>
          </w:tcPr>
          <w:p w14:paraId="0F9346C3" w14:textId="764CC19A"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716</w:t>
            </w:r>
            <w:r w:rsidR="00454299">
              <w:rPr>
                <w:rFonts w:ascii="Arial" w:hAnsi="Arial" w:cs="Arial"/>
                <w:color w:val="000000"/>
                <w:sz w:val="18"/>
                <w:szCs w:val="18"/>
              </w:rPr>
              <w:t>,</w:t>
            </w:r>
            <w:r>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200E60C3" w14:textId="5C2024FC"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592</w:t>
            </w:r>
            <w:r w:rsidR="00454299">
              <w:rPr>
                <w:rFonts w:ascii="Arial" w:hAnsi="Arial" w:cs="Arial"/>
                <w:sz w:val="18"/>
                <w:szCs w:val="18"/>
              </w:rPr>
              <w:t>,</w:t>
            </w:r>
            <w:r w:rsidRPr="000147AB">
              <w:rPr>
                <w:rFonts w:ascii="Arial" w:hAnsi="Arial" w:cs="Arial"/>
                <w:sz w:val="18"/>
                <w:szCs w:val="18"/>
              </w:rPr>
              <w:t xml:space="preserve">3 </w:t>
            </w:r>
          </w:p>
        </w:tc>
      </w:tr>
      <w:tr w:rsidR="00DC2985" w:rsidRPr="00872FD9" w14:paraId="5B6187F2" w14:textId="77777777" w:rsidTr="0009084A">
        <w:trPr>
          <w:trHeight w:val="256"/>
        </w:trPr>
        <w:tc>
          <w:tcPr>
            <w:tcW w:w="6379" w:type="dxa"/>
            <w:tcBorders>
              <w:top w:val="nil"/>
              <w:bottom w:val="nil"/>
            </w:tcBorders>
            <w:shd w:val="clear" w:color="auto" w:fill="FFFFFF" w:themeFill="background1"/>
          </w:tcPr>
          <w:p w14:paraId="3BC5B3C0" w14:textId="120DF205"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Λοιπά χρηματοοικονομικά περιουσιακά στοιχεία</w:t>
            </w:r>
          </w:p>
        </w:tc>
        <w:tc>
          <w:tcPr>
            <w:tcW w:w="1985" w:type="dxa"/>
            <w:tcBorders>
              <w:top w:val="nil"/>
              <w:bottom w:val="nil"/>
            </w:tcBorders>
            <w:shd w:val="clear" w:color="auto" w:fill="FFFFFF" w:themeFill="background1"/>
            <w:vAlign w:val="center"/>
          </w:tcPr>
          <w:p w14:paraId="056A38A0" w14:textId="6C71AB10"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w:t>
            </w:r>
            <w:r w:rsidR="00454299">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570AFB8F" w14:textId="5E81399D"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7</w:t>
            </w:r>
            <w:r w:rsidR="00454299">
              <w:rPr>
                <w:rFonts w:ascii="Arial" w:hAnsi="Arial" w:cs="Arial"/>
                <w:sz w:val="18"/>
                <w:szCs w:val="18"/>
              </w:rPr>
              <w:t>,</w:t>
            </w:r>
            <w:r w:rsidRPr="000147AB">
              <w:rPr>
                <w:rFonts w:ascii="Arial" w:hAnsi="Arial" w:cs="Arial"/>
                <w:sz w:val="18"/>
                <w:szCs w:val="18"/>
              </w:rPr>
              <w:t xml:space="preserve">0 </w:t>
            </w:r>
          </w:p>
        </w:tc>
      </w:tr>
      <w:tr w:rsidR="00DC2985" w:rsidRPr="00872FD9" w14:paraId="0DD2371E" w14:textId="77777777" w:rsidTr="0009084A">
        <w:trPr>
          <w:trHeight w:val="256"/>
        </w:trPr>
        <w:tc>
          <w:tcPr>
            <w:tcW w:w="6379" w:type="dxa"/>
            <w:tcBorders>
              <w:top w:val="nil"/>
              <w:bottom w:val="nil"/>
            </w:tcBorders>
            <w:shd w:val="clear" w:color="auto" w:fill="FFFFFF" w:themeFill="background1"/>
          </w:tcPr>
          <w:p w14:paraId="043319CA" w14:textId="3C0A647C"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 xml:space="preserve">Συμβατικά περιουσιακά στοιχεία </w:t>
            </w:r>
          </w:p>
        </w:tc>
        <w:tc>
          <w:tcPr>
            <w:tcW w:w="1985" w:type="dxa"/>
            <w:tcBorders>
              <w:top w:val="nil"/>
              <w:bottom w:val="nil"/>
            </w:tcBorders>
            <w:shd w:val="clear" w:color="auto" w:fill="FFFFFF" w:themeFill="background1"/>
            <w:vAlign w:val="center"/>
          </w:tcPr>
          <w:p w14:paraId="41C0AC70" w14:textId="7F4FA29F"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37</w:t>
            </w:r>
            <w:r w:rsidR="00454299">
              <w:rPr>
                <w:rFonts w:ascii="Arial" w:hAnsi="Arial" w:cs="Arial"/>
                <w:color w:val="000000"/>
                <w:sz w:val="18"/>
                <w:szCs w:val="18"/>
              </w:rPr>
              <w:t>,</w:t>
            </w:r>
            <w:r>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17A41BFB" w14:textId="0BE81B36"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36</w:t>
            </w:r>
            <w:r w:rsidR="00454299">
              <w:rPr>
                <w:rFonts w:ascii="Arial" w:hAnsi="Arial" w:cs="Arial"/>
                <w:sz w:val="18"/>
                <w:szCs w:val="18"/>
              </w:rPr>
              <w:t>,</w:t>
            </w:r>
            <w:r w:rsidRPr="000147AB">
              <w:rPr>
                <w:rFonts w:ascii="Arial" w:hAnsi="Arial" w:cs="Arial"/>
                <w:sz w:val="18"/>
                <w:szCs w:val="18"/>
              </w:rPr>
              <w:t xml:space="preserve">1 </w:t>
            </w:r>
          </w:p>
        </w:tc>
      </w:tr>
      <w:tr w:rsidR="00DC2985" w:rsidRPr="00872FD9" w14:paraId="2FE4792B" w14:textId="77777777" w:rsidTr="0009084A">
        <w:trPr>
          <w:trHeight w:val="256"/>
        </w:trPr>
        <w:tc>
          <w:tcPr>
            <w:tcW w:w="6379" w:type="dxa"/>
            <w:tcBorders>
              <w:top w:val="nil"/>
              <w:bottom w:val="nil"/>
            </w:tcBorders>
            <w:shd w:val="clear" w:color="auto" w:fill="FFFFFF" w:themeFill="background1"/>
          </w:tcPr>
          <w:p w14:paraId="546246F1" w14:textId="75BDCB80"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Λοιπά κυκλοφορούντα περιουσιακά στοιχεία</w:t>
            </w:r>
          </w:p>
        </w:tc>
        <w:tc>
          <w:tcPr>
            <w:tcW w:w="1985" w:type="dxa"/>
            <w:tcBorders>
              <w:top w:val="nil"/>
              <w:bottom w:val="nil"/>
            </w:tcBorders>
            <w:shd w:val="clear" w:color="auto" w:fill="FFFFFF" w:themeFill="background1"/>
            <w:vAlign w:val="center"/>
          </w:tcPr>
          <w:p w14:paraId="115DA559" w14:textId="5FC19559"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229</w:t>
            </w:r>
            <w:r w:rsidR="00454299">
              <w:rPr>
                <w:rFonts w:ascii="Arial" w:hAnsi="Arial" w:cs="Arial"/>
                <w:color w:val="000000"/>
                <w:sz w:val="18"/>
                <w:szCs w:val="18"/>
              </w:rPr>
              <w:t>,</w:t>
            </w:r>
            <w:r>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509CF15E" w14:textId="1FDA86F0"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200</w:t>
            </w:r>
            <w:r w:rsidR="00454299">
              <w:rPr>
                <w:rFonts w:ascii="Arial" w:hAnsi="Arial" w:cs="Arial"/>
                <w:sz w:val="18"/>
                <w:szCs w:val="18"/>
              </w:rPr>
              <w:t>,</w:t>
            </w:r>
            <w:r w:rsidRPr="000147AB">
              <w:rPr>
                <w:rFonts w:ascii="Arial" w:hAnsi="Arial" w:cs="Arial"/>
                <w:sz w:val="18"/>
                <w:szCs w:val="18"/>
              </w:rPr>
              <w:t xml:space="preserve">7 </w:t>
            </w:r>
          </w:p>
        </w:tc>
      </w:tr>
      <w:tr w:rsidR="00DC2985" w:rsidRPr="00872FD9" w14:paraId="2A0B3612" w14:textId="77777777" w:rsidTr="0009084A">
        <w:trPr>
          <w:trHeight w:val="222"/>
        </w:trPr>
        <w:tc>
          <w:tcPr>
            <w:tcW w:w="6379" w:type="dxa"/>
            <w:tcBorders>
              <w:top w:val="nil"/>
              <w:bottom w:val="single" w:sz="2" w:space="0" w:color="808080" w:themeColor="background1" w:themeShade="80"/>
            </w:tcBorders>
            <w:shd w:val="clear" w:color="auto" w:fill="FFFFFF" w:themeFill="background1"/>
          </w:tcPr>
          <w:p w14:paraId="20740960" w14:textId="40B2B99B" w:rsidR="00DC2985" w:rsidRPr="00872FD9" w:rsidRDefault="00DC2985" w:rsidP="00DC2985">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Ταμειακά διαθέσιμα και ταμειακά ισοδύναμα</w:t>
            </w:r>
          </w:p>
        </w:tc>
        <w:tc>
          <w:tcPr>
            <w:tcW w:w="1985" w:type="dxa"/>
            <w:tcBorders>
              <w:top w:val="nil"/>
              <w:bottom w:val="single" w:sz="2" w:space="0" w:color="808080" w:themeColor="background1" w:themeShade="80"/>
            </w:tcBorders>
            <w:shd w:val="clear" w:color="auto" w:fill="FFFFFF" w:themeFill="background1"/>
            <w:vAlign w:val="center"/>
          </w:tcPr>
          <w:p w14:paraId="0B9DE53A" w14:textId="0893CC49"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551</w:t>
            </w:r>
            <w:r w:rsidR="00454299">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single" w:sz="2" w:space="0" w:color="808080" w:themeColor="background1" w:themeShade="80"/>
            </w:tcBorders>
            <w:shd w:val="clear" w:color="auto" w:fill="FFFFFF" w:themeFill="background1"/>
            <w:vAlign w:val="center"/>
          </w:tcPr>
          <w:p w14:paraId="436F909A" w14:textId="0140DB38" w:rsidR="00DC2985" w:rsidRPr="00872FD9" w:rsidRDefault="00DC2985" w:rsidP="00DC2985">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520</w:t>
            </w:r>
            <w:r w:rsidR="00454299">
              <w:rPr>
                <w:rFonts w:ascii="Arial" w:hAnsi="Arial" w:cs="Arial"/>
                <w:sz w:val="18"/>
                <w:szCs w:val="18"/>
              </w:rPr>
              <w:t>,</w:t>
            </w:r>
            <w:r w:rsidRPr="000147AB">
              <w:rPr>
                <w:rFonts w:ascii="Arial" w:hAnsi="Arial" w:cs="Arial"/>
                <w:sz w:val="18"/>
                <w:szCs w:val="18"/>
              </w:rPr>
              <w:t xml:space="preserve">9 </w:t>
            </w:r>
          </w:p>
        </w:tc>
      </w:tr>
      <w:tr w:rsidR="00DC2985" w:rsidRPr="00872FD9" w14:paraId="4446F7C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68C36A" w14:textId="23874939"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Σύνολο κυκλοφορούντων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E7D9F4" w14:textId="5702AAA4" w:rsidR="00DC2985" w:rsidRPr="00872FD9" w:rsidRDefault="00DC2985" w:rsidP="00DC2985">
            <w:pPr>
              <w:pStyle w:val="ColorfulList-Accent11"/>
              <w:tabs>
                <w:tab w:val="left" w:pos="0"/>
                <w:tab w:val="left" w:pos="284"/>
              </w:tabs>
              <w:ind w:left="0" w:right="-90"/>
              <w:jc w:val="right"/>
              <w:rPr>
                <w:rFonts w:ascii="Arial" w:hAnsi="Arial" w:cs="Arial"/>
                <w:b/>
                <w:bCs/>
                <w:color w:val="000000" w:themeColor="text1"/>
                <w:sz w:val="18"/>
                <w:szCs w:val="18"/>
                <w:lang w:val="el-GR"/>
              </w:rPr>
            </w:pPr>
            <w:r>
              <w:rPr>
                <w:rFonts w:ascii="Arial" w:hAnsi="Arial" w:cs="Arial"/>
                <w:b/>
                <w:bCs/>
                <w:color w:val="000000"/>
                <w:sz w:val="18"/>
                <w:szCs w:val="18"/>
              </w:rPr>
              <w:t>1</w:t>
            </w:r>
            <w:r w:rsidR="00454299">
              <w:rPr>
                <w:rFonts w:ascii="Arial" w:hAnsi="Arial" w:cs="Arial"/>
                <w:b/>
                <w:bCs/>
                <w:color w:val="000000"/>
                <w:sz w:val="18"/>
                <w:szCs w:val="18"/>
              </w:rPr>
              <w:t>.</w:t>
            </w:r>
            <w:r>
              <w:rPr>
                <w:rFonts w:ascii="Arial" w:hAnsi="Arial" w:cs="Arial"/>
                <w:b/>
                <w:bCs/>
                <w:color w:val="000000"/>
                <w:sz w:val="18"/>
                <w:szCs w:val="18"/>
              </w:rPr>
              <w:t>585</w:t>
            </w:r>
            <w:r w:rsidR="00454299">
              <w:rPr>
                <w:rFonts w:ascii="Arial" w:hAnsi="Arial" w:cs="Arial"/>
                <w:b/>
                <w:bCs/>
                <w:color w:val="000000"/>
                <w:sz w:val="18"/>
                <w:szCs w:val="18"/>
              </w:rPr>
              <w:t>,</w:t>
            </w:r>
            <w:r>
              <w:rPr>
                <w:rFonts w:ascii="Arial" w:hAnsi="Arial" w:cs="Arial"/>
                <w:b/>
                <w:bCs/>
                <w:color w:val="000000"/>
                <w:sz w:val="18"/>
                <w:szCs w:val="18"/>
              </w:rPr>
              <w:t>1</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A133A3" w14:textId="25C60EB3"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rPr>
              <w:t>1</w:t>
            </w:r>
            <w:r w:rsidR="00454299">
              <w:rPr>
                <w:rFonts w:ascii="Arial" w:hAnsi="Arial" w:cs="Arial"/>
                <w:b/>
                <w:sz w:val="18"/>
                <w:szCs w:val="18"/>
              </w:rPr>
              <w:t>.</w:t>
            </w:r>
            <w:r w:rsidRPr="000147AB">
              <w:rPr>
                <w:rFonts w:ascii="Arial" w:hAnsi="Arial" w:cs="Arial"/>
                <w:b/>
                <w:bCs/>
                <w:sz w:val="18"/>
                <w:szCs w:val="18"/>
                <w:lang w:val="el-GR"/>
              </w:rPr>
              <w:t>396</w:t>
            </w:r>
            <w:r w:rsidR="00454299">
              <w:rPr>
                <w:rFonts w:ascii="Arial" w:hAnsi="Arial" w:cs="Arial"/>
                <w:b/>
                <w:bCs/>
                <w:sz w:val="18"/>
                <w:szCs w:val="18"/>
              </w:rPr>
              <w:t>,</w:t>
            </w:r>
            <w:r w:rsidRPr="000147AB">
              <w:rPr>
                <w:rFonts w:ascii="Arial" w:hAnsi="Arial" w:cs="Arial"/>
                <w:b/>
                <w:bCs/>
                <w:sz w:val="18"/>
                <w:szCs w:val="18"/>
                <w:lang w:val="el-GR"/>
              </w:rPr>
              <w:t>9</w:t>
            </w:r>
          </w:p>
        </w:tc>
      </w:tr>
      <w:tr w:rsidR="00DC2985" w:rsidRPr="00872FD9" w14:paraId="5FC48266"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3B389B" w14:textId="1810E85A"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ΣΥΝΟΛΟ ΠΕΡΙΟΥΣΙΑΚΩΝ ΣΤΟΙΧΕΙΩΝ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3310F8" w14:textId="2CA66AF7"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lang w:val="el-GR"/>
              </w:rPr>
            </w:pPr>
            <w:r>
              <w:rPr>
                <w:rFonts w:ascii="Arial" w:hAnsi="Arial" w:cs="Arial"/>
                <w:b/>
                <w:color w:val="000000"/>
                <w:sz w:val="18"/>
                <w:szCs w:val="18"/>
              </w:rPr>
              <w:t>5</w:t>
            </w:r>
            <w:r w:rsidR="00454299">
              <w:rPr>
                <w:rFonts w:ascii="Arial" w:hAnsi="Arial" w:cs="Arial"/>
                <w:b/>
                <w:color w:val="000000"/>
                <w:sz w:val="18"/>
                <w:szCs w:val="18"/>
              </w:rPr>
              <w:t>.</w:t>
            </w:r>
            <w:r>
              <w:rPr>
                <w:rFonts w:ascii="Arial" w:hAnsi="Arial" w:cs="Arial"/>
                <w:b/>
                <w:bCs/>
                <w:color w:val="000000"/>
                <w:sz w:val="18"/>
                <w:szCs w:val="18"/>
              </w:rPr>
              <w:t>198</w:t>
            </w:r>
            <w:r w:rsidR="00454299">
              <w:rPr>
                <w:rFonts w:ascii="Arial" w:hAnsi="Arial" w:cs="Arial"/>
                <w:b/>
                <w:bCs/>
                <w:color w:val="000000"/>
                <w:sz w:val="18"/>
                <w:szCs w:val="18"/>
              </w:rPr>
              <w:t>,</w:t>
            </w:r>
            <w:r>
              <w:rPr>
                <w:rFonts w:ascii="Arial" w:hAnsi="Arial" w:cs="Arial"/>
                <w:b/>
                <w:bCs/>
                <w:color w:val="000000"/>
                <w:sz w:val="18"/>
                <w:szCs w:val="18"/>
              </w:rPr>
              <w:t>9</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71EB2F7" w14:textId="5EE5F02A"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lang w:val="el-GR"/>
              </w:rPr>
              <w:t>5</w:t>
            </w:r>
            <w:r w:rsidR="00454299">
              <w:rPr>
                <w:rFonts w:ascii="Arial" w:hAnsi="Arial" w:cs="Arial"/>
                <w:b/>
                <w:sz w:val="18"/>
                <w:szCs w:val="18"/>
                <w:lang w:val="el-GR"/>
              </w:rPr>
              <w:t>.</w:t>
            </w:r>
            <w:r w:rsidRPr="000147AB">
              <w:rPr>
                <w:rFonts w:ascii="Arial" w:hAnsi="Arial" w:cs="Arial"/>
                <w:b/>
                <w:sz w:val="18"/>
                <w:szCs w:val="18"/>
                <w:lang w:val="el-GR"/>
              </w:rPr>
              <w:t>041</w:t>
            </w:r>
            <w:r w:rsidR="00454299">
              <w:rPr>
                <w:rFonts w:ascii="Arial" w:hAnsi="Arial" w:cs="Arial"/>
                <w:b/>
                <w:sz w:val="18"/>
                <w:szCs w:val="18"/>
                <w:lang w:val="el-GR"/>
              </w:rPr>
              <w:t>,</w:t>
            </w:r>
            <w:r w:rsidRPr="000147AB">
              <w:rPr>
                <w:rFonts w:ascii="Arial" w:hAnsi="Arial" w:cs="Arial"/>
                <w:b/>
                <w:sz w:val="18"/>
                <w:szCs w:val="18"/>
                <w:lang w:val="el-GR"/>
              </w:rPr>
              <w:t>2</w:t>
            </w:r>
          </w:p>
        </w:tc>
      </w:tr>
      <w:tr w:rsidR="00DC2985" w:rsidRPr="00872FD9" w14:paraId="0438AE70" w14:textId="77777777" w:rsidTr="0009084A">
        <w:trPr>
          <w:trHeight w:val="211"/>
        </w:trPr>
        <w:tc>
          <w:tcPr>
            <w:tcW w:w="6379" w:type="dxa"/>
            <w:tcBorders>
              <w:top w:val="single" w:sz="2" w:space="0" w:color="808080" w:themeColor="background1" w:themeShade="80"/>
              <w:bottom w:val="nil"/>
            </w:tcBorders>
            <w:shd w:val="clear" w:color="auto" w:fill="FFFFFF" w:themeFill="background1"/>
            <w:vAlign w:val="center"/>
          </w:tcPr>
          <w:p w14:paraId="2B85197C" w14:textId="5BAE7399"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lang w:val="el-GR"/>
              </w:rPr>
              <w:t>ΙΔΙΑ ΚΕΦΑΛΑΙΑ ΚΑΙ ΥΠΟΧΡΕΩΣΕΙΣ</w:t>
            </w:r>
          </w:p>
        </w:tc>
        <w:tc>
          <w:tcPr>
            <w:tcW w:w="1985" w:type="dxa"/>
            <w:tcBorders>
              <w:top w:val="single" w:sz="2" w:space="0" w:color="808080" w:themeColor="background1" w:themeShade="80"/>
              <w:bottom w:val="nil"/>
            </w:tcBorders>
            <w:shd w:val="clear" w:color="auto" w:fill="FFFFFF" w:themeFill="background1"/>
            <w:vAlign w:val="center"/>
          </w:tcPr>
          <w:p w14:paraId="662D3E0D" w14:textId="77777777"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single" w:sz="2" w:space="0" w:color="808080" w:themeColor="background1" w:themeShade="80"/>
              <w:bottom w:val="nil"/>
            </w:tcBorders>
            <w:shd w:val="clear" w:color="auto" w:fill="FFFFFF" w:themeFill="background1"/>
            <w:vAlign w:val="center"/>
          </w:tcPr>
          <w:p w14:paraId="70B25375" w14:textId="77777777"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rPr>
            </w:pPr>
          </w:p>
        </w:tc>
      </w:tr>
      <w:tr w:rsidR="00DC2985" w:rsidRPr="00872FD9" w14:paraId="4057E79A" w14:textId="77777777" w:rsidTr="0009084A">
        <w:trPr>
          <w:trHeight w:val="256"/>
        </w:trPr>
        <w:tc>
          <w:tcPr>
            <w:tcW w:w="6379" w:type="dxa"/>
            <w:tcBorders>
              <w:top w:val="nil"/>
              <w:bottom w:val="nil"/>
            </w:tcBorders>
            <w:shd w:val="clear" w:color="auto" w:fill="FFFFFF" w:themeFill="background1"/>
            <w:vAlign w:val="center"/>
          </w:tcPr>
          <w:p w14:paraId="7EBCDC7D" w14:textId="4E95A98B" w:rsidR="00DC2985" w:rsidRPr="00872FD9" w:rsidRDefault="00DC2985" w:rsidP="00DC298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bCs/>
                <w:sz w:val="18"/>
                <w:szCs w:val="18"/>
                <w:lang w:val="el-GR"/>
              </w:rPr>
              <w:t>Ίδια κεφάλαια που αναλογούν στους μετόχους της Εταιρείας</w:t>
            </w:r>
          </w:p>
        </w:tc>
        <w:tc>
          <w:tcPr>
            <w:tcW w:w="1985" w:type="dxa"/>
            <w:tcBorders>
              <w:top w:val="nil"/>
              <w:bottom w:val="nil"/>
            </w:tcBorders>
            <w:shd w:val="clear" w:color="auto" w:fill="FFFFFF" w:themeFill="background1"/>
            <w:vAlign w:val="center"/>
          </w:tcPr>
          <w:p w14:paraId="4E72DA96" w14:textId="5C62F57D"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nil"/>
              <w:bottom w:val="nil"/>
            </w:tcBorders>
            <w:shd w:val="clear" w:color="auto" w:fill="FFFFFF" w:themeFill="background1"/>
            <w:vAlign w:val="center"/>
          </w:tcPr>
          <w:p w14:paraId="27389279" w14:textId="27D61EA9" w:rsidR="00DC2985" w:rsidRPr="00872FD9" w:rsidRDefault="00DC2985" w:rsidP="00DC2985">
            <w:pPr>
              <w:pStyle w:val="ColorfulList-Accent11"/>
              <w:tabs>
                <w:tab w:val="left" w:pos="0"/>
                <w:tab w:val="left" w:pos="284"/>
              </w:tabs>
              <w:ind w:left="0" w:right="-90"/>
              <w:jc w:val="right"/>
              <w:rPr>
                <w:rFonts w:ascii="Arial" w:hAnsi="Arial" w:cs="Arial"/>
                <w:b/>
                <w:color w:val="000000" w:themeColor="text1"/>
                <w:sz w:val="18"/>
                <w:szCs w:val="18"/>
                <w:lang w:val="el-GR"/>
              </w:rPr>
            </w:pPr>
          </w:p>
        </w:tc>
      </w:tr>
      <w:tr w:rsidR="00F90D14" w:rsidRPr="00872FD9" w14:paraId="62D3148A" w14:textId="77777777" w:rsidTr="0009084A">
        <w:trPr>
          <w:trHeight w:val="256"/>
        </w:trPr>
        <w:tc>
          <w:tcPr>
            <w:tcW w:w="6379" w:type="dxa"/>
            <w:tcBorders>
              <w:top w:val="nil"/>
              <w:bottom w:val="nil"/>
            </w:tcBorders>
            <w:shd w:val="clear" w:color="auto" w:fill="FFFFFF" w:themeFill="background1"/>
          </w:tcPr>
          <w:p w14:paraId="1F2055EB" w14:textId="5E962817"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Μετοχικό κεφάλαιο</w:t>
            </w:r>
          </w:p>
        </w:tc>
        <w:tc>
          <w:tcPr>
            <w:tcW w:w="1985" w:type="dxa"/>
            <w:tcBorders>
              <w:top w:val="nil"/>
              <w:bottom w:val="nil"/>
            </w:tcBorders>
            <w:shd w:val="clear" w:color="auto" w:fill="FFFFFF" w:themeFill="background1"/>
            <w:vAlign w:val="center"/>
          </w:tcPr>
          <w:p w14:paraId="0D94041D" w14:textId="205B8DCE"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1</w:t>
            </w:r>
            <w:r w:rsidR="00454299">
              <w:rPr>
                <w:rFonts w:ascii="Arial" w:hAnsi="Arial" w:cs="Arial"/>
                <w:color w:val="000000"/>
                <w:sz w:val="18"/>
                <w:szCs w:val="18"/>
              </w:rPr>
              <w:t>.</w:t>
            </w:r>
            <w:r>
              <w:rPr>
                <w:rFonts w:ascii="Arial" w:hAnsi="Arial" w:cs="Arial"/>
                <w:color w:val="000000"/>
                <w:sz w:val="18"/>
                <w:szCs w:val="18"/>
              </w:rPr>
              <w:t>142</w:t>
            </w:r>
            <w:r w:rsidR="00454299">
              <w:rPr>
                <w:rFonts w:ascii="Arial" w:hAnsi="Arial" w:cs="Arial"/>
                <w:color w:val="000000"/>
                <w:sz w:val="18"/>
                <w:szCs w:val="18"/>
              </w:rPr>
              <w:t>,</w:t>
            </w:r>
            <w:r>
              <w:rPr>
                <w:rFonts w:ascii="Arial" w:hAnsi="Arial" w:cs="Arial"/>
                <w:color w:val="000000"/>
                <w:sz w:val="18"/>
                <w:szCs w:val="18"/>
              </w:rPr>
              <w:t xml:space="preserve">9 </w:t>
            </w:r>
          </w:p>
        </w:tc>
        <w:tc>
          <w:tcPr>
            <w:tcW w:w="2126" w:type="dxa"/>
            <w:tcBorders>
              <w:top w:val="nil"/>
              <w:bottom w:val="nil"/>
            </w:tcBorders>
            <w:shd w:val="clear" w:color="auto" w:fill="FFFFFF" w:themeFill="background1"/>
            <w:vAlign w:val="center"/>
          </w:tcPr>
          <w:p w14:paraId="026E76E0" w14:textId="244B8576"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1</w:t>
            </w:r>
            <w:r w:rsidR="00454299">
              <w:rPr>
                <w:rFonts w:ascii="Arial" w:hAnsi="Arial" w:cs="Arial"/>
                <w:sz w:val="18"/>
                <w:szCs w:val="18"/>
              </w:rPr>
              <w:t>.</w:t>
            </w:r>
            <w:r w:rsidRPr="000147AB">
              <w:rPr>
                <w:rFonts w:ascii="Arial" w:hAnsi="Arial" w:cs="Arial"/>
                <w:sz w:val="18"/>
                <w:szCs w:val="18"/>
              </w:rPr>
              <w:t>142</w:t>
            </w:r>
            <w:r w:rsidR="00454299">
              <w:rPr>
                <w:rFonts w:ascii="Arial" w:hAnsi="Arial" w:cs="Arial"/>
                <w:sz w:val="18"/>
                <w:szCs w:val="18"/>
              </w:rPr>
              <w:t>,</w:t>
            </w:r>
            <w:r w:rsidRPr="000147AB">
              <w:rPr>
                <w:rFonts w:ascii="Arial" w:hAnsi="Arial" w:cs="Arial"/>
                <w:sz w:val="18"/>
                <w:szCs w:val="18"/>
              </w:rPr>
              <w:t xml:space="preserve">9 </w:t>
            </w:r>
          </w:p>
        </w:tc>
      </w:tr>
      <w:tr w:rsidR="00F90D14" w:rsidRPr="00872FD9" w14:paraId="4669C5A1" w14:textId="77777777" w:rsidTr="0009084A">
        <w:trPr>
          <w:trHeight w:val="256"/>
        </w:trPr>
        <w:tc>
          <w:tcPr>
            <w:tcW w:w="6379" w:type="dxa"/>
            <w:tcBorders>
              <w:top w:val="nil"/>
              <w:bottom w:val="nil"/>
            </w:tcBorders>
            <w:shd w:val="clear" w:color="auto" w:fill="FFFFFF" w:themeFill="background1"/>
          </w:tcPr>
          <w:p w14:paraId="699D32D2" w14:textId="418CD817"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 xml:space="preserve">Αποθεματικό υπέρ το άρτιο </w:t>
            </w:r>
          </w:p>
        </w:tc>
        <w:tc>
          <w:tcPr>
            <w:tcW w:w="1985" w:type="dxa"/>
            <w:tcBorders>
              <w:top w:val="nil"/>
              <w:bottom w:val="nil"/>
            </w:tcBorders>
            <w:shd w:val="clear" w:color="auto" w:fill="FFFFFF" w:themeFill="background1"/>
            <w:vAlign w:val="center"/>
          </w:tcPr>
          <w:p w14:paraId="4A72F1ED" w14:textId="73D880E1"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406</w:t>
            </w:r>
            <w:r w:rsidR="00454299">
              <w:rPr>
                <w:rFonts w:ascii="Arial" w:hAnsi="Arial" w:cs="Arial"/>
                <w:color w:val="000000"/>
                <w:sz w:val="18"/>
                <w:szCs w:val="18"/>
              </w:rPr>
              <w:t>,</w:t>
            </w:r>
            <w:r>
              <w:rPr>
                <w:rFonts w:ascii="Arial" w:hAnsi="Arial" w:cs="Arial"/>
                <w:color w:val="000000"/>
                <w:sz w:val="18"/>
                <w:szCs w:val="18"/>
              </w:rPr>
              <w:t xml:space="preserve">8 </w:t>
            </w:r>
          </w:p>
        </w:tc>
        <w:tc>
          <w:tcPr>
            <w:tcW w:w="2126" w:type="dxa"/>
            <w:tcBorders>
              <w:top w:val="nil"/>
              <w:bottom w:val="nil"/>
            </w:tcBorders>
            <w:shd w:val="clear" w:color="auto" w:fill="FFFFFF" w:themeFill="background1"/>
            <w:vAlign w:val="center"/>
          </w:tcPr>
          <w:p w14:paraId="36B7DB6D" w14:textId="332F56F2"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406</w:t>
            </w:r>
            <w:r w:rsidR="00454299">
              <w:rPr>
                <w:rFonts w:ascii="Arial" w:hAnsi="Arial" w:cs="Arial"/>
                <w:sz w:val="18"/>
                <w:szCs w:val="18"/>
              </w:rPr>
              <w:t>,</w:t>
            </w:r>
            <w:r w:rsidRPr="000147AB">
              <w:rPr>
                <w:rFonts w:ascii="Arial" w:hAnsi="Arial" w:cs="Arial"/>
                <w:sz w:val="18"/>
                <w:szCs w:val="18"/>
              </w:rPr>
              <w:t xml:space="preserve">6 </w:t>
            </w:r>
          </w:p>
        </w:tc>
      </w:tr>
      <w:tr w:rsidR="00F90D14" w:rsidRPr="00872FD9" w14:paraId="2A989B8F" w14:textId="77777777" w:rsidTr="0009084A">
        <w:trPr>
          <w:trHeight w:val="256"/>
        </w:trPr>
        <w:tc>
          <w:tcPr>
            <w:tcW w:w="6379" w:type="dxa"/>
            <w:tcBorders>
              <w:top w:val="nil"/>
              <w:bottom w:val="nil"/>
            </w:tcBorders>
            <w:shd w:val="clear" w:color="auto" w:fill="FFFFFF" w:themeFill="background1"/>
          </w:tcPr>
          <w:p w14:paraId="2AF61A75" w14:textId="534ACD1C"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 xml:space="preserve">Ίδιες μετοχές </w:t>
            </w:r>
          </w:p>
        </w:tc>
        <w:tc>
          <w:tcPr>
            <w:tcW w:w="1985" w:type="dxa"/>
            <w:tcBorders>
              <w:top w:val="nil"/>
              <w:bottom w:val="nil"/>
            </w:tcBorders>
            <w:shd w:val="clear" w:color="auto" w:fill="FFFFFF" w:themeFill="background1"/>
            <w:vAlign w:val="center"/>
          </w:tcPr>
          <w:p w14:paraId="506B7850" w14:textId="140320C3"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(152</w:t>
            </w:r>
            <w:r w:rsidR="00454299">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45F38741" w14:textId="176CF13B"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(123</w:t>
            </w:r>
            <w:r w:rsidR="00454299">
              <w:rPr>
                <w:rFonts w:ascii="Arial" w:hAnsi="Arial" w:cs="Arial"/>
                <w:sz w:val="18"/>
                <w:szCs w:val="18"/>
              </w:rPr>
              <w:t>,</w:t>
            </w:r>
            <w:r w:rsidRPr="000147AB">
              <w:rPr>
                <w:rFonts w:ascii="Arial" w:hAnsi="Arial" w:cs="Arial"/>
                <w:sz w:val="18"/>
                <w:szCs w:val="18"/>
              </w:rPr>
              <w:t>9)</w:t>
            </w:r>
          </w:p>
        </w:tc>
      </w:tr>
      <w:tr w:rsidR="00F90D14" w:rsidRPr="00872FD9" w14:paraId="57003574" w14:textId="77777777" w:rsidTr="0009084A">
        <w:trPr>
          <w:trHeight w:val="256"/>
        </w:trPr>
        <w:tc>
          <w:tcPr>
            <w:tcW w:w="6379" w:type="dxa"/>
            <w:tcBorders>
              <w:top w:val="nil"/>
              <w:bottom w:val="nil"/>
            </w:tcBorders>
            <w:shd w:val="clear" w:color="auto" w:fill="FFFFFF" w:themeFill="background1"/>
          </w:tcPr>
          <w:p w14:paraId="5BE0C4F8" w14:textId="77AB9471"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Τακτικό αποθεματικό</w:t>
            </w:r>
          </w:p>
        </w:tc>
        <w:tc>
          <w:tcPr>
            <w:tcW w:w="1985" w:type="dxa"/>
            <w:tcBorders>
              <w:top w:val="nil"/>
              <w:bottom w:val="nil"/>
            </w:tcBorders>
            <w:shd w:val="clear" w:color="auto" w:fill="FFFFFF" w:themeFill="background1"/>
            <w:vAlign w:val="center"/>
          </w:tcPr>
          <w:p w14:paraId="4ED9B003" w14:textId="4681F0FB"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440</w:t>
            </w:r>
            <w:r w:rsidR="00454299">
              <w:rPr>
                <w:rFonts w:ascii="Arial" w:hAnsi="Arial" w:cs="Arial"/>
                <w:color w:val="000000"/>
                <w:sz w:val="18"/>
                <w:szCs w:val="18"/>
              </w:rPr>
              <w:t>,</w:t>
            </w:r>
            <w:r>
              <w:rPr>
                <w:rFonts w:ascii="Arial" w:hAnsi="Arial" w:cs="Arial"/>
                <w:color w:val="000000"/>
                <w:sz w:val="18"/>
                <w:szCs w:val="18"/>
              </w:rPr>
              <w:t xml:space="preserve">7 </w:t>
            </w:r>
          </w:p>
        </w:tc>
        <w:tc>
          <w:tcPr>
            <w:tcW w:w="2126" w:type="dxa"/>
            <w:tcBorders>
              <w:top w:val="nil"/>
              <w:bottom w:val="nil"/>
            </w:tcBorders>
            <w:shd w:val="clear" w:color="auto" w:fill="FFFFFF" w:themeFill="background1"/>
            <w:vAlign w:val="center"/>
          </w:tcPr>
          <w:p w14:paraId="10423537" w14:textId="52AD1516"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440</w:t>
            </w:r>
            <w:r w:rsidR="00454299">
              <w:rPr>
                <w:rFonts w:ascii="Arial" w:hAnsi="Arial" w:cs="Arial"/>
                <w:sz w:val="18"/>
                <w:szCs w:val="18"/>
              </w:rPr>
              <w:t>,</w:t>
            </w:r>
            <w:r w:rsidRPr="000147AB">
              <w:rPr>
                <w:rFonts w:ascii="Arial" w:hAnsi="Arial" w:cs="Arial"/>
                <w:sz w:val="18"/>
                <w:szCs w:val="18"/>
              </w:rPr>
              <w:t xml:space="preserve">7 </w:t>
            </w:r>
          </w:p>
        </w:tc>
      </w:tr>
      <w:tr w:rsidR="00F90D14" w:rsidRPr="00872FD9" w14:paraId="460C39FA" w14:textId="77777777" w:rsidTr="0009084A">
        <w:trPr>
          <w:trHeight w:val="256"/>
        </w:trPr>
        <w:tc>
          <w:tcPr>
            <w:tcW w:w="6379" w:type="dxa"/>
            <w:tcBorders>
              <w:top w:val="nil"/>
              <w:bottom w:val="nil"/>
            </w:tcBorders>
            <w:shd w:val="clear" w:color="auto" w:fill="FFFFFF" w:themeFill="background1"/>
          </w:tcPr>
          <w:p w14:paraId="3A3089A6" w14:textId="0C6ABB20"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Συναλλαγματικές διαφορές και λοιπά αποθεματικά</w:t>
            </w:r>
          </w:p>
        </w:tc>
        <w:tc>
          <w:tcPr>
            <w:tcW w:w="1985" w:type="dxa"/>
            <w:tcBorders>
              <w:top w:val="nil"/>
              <w:bottom w:val="nil"/>
            </w:tcBorders>
            <w:shd w:val="clear" w:color="auto" w:fill="FFFFFF" w:themeFill="background1"/>
            <w:vAlign w:val="center"/>
          </w:tcPr>
          <w:p w14:paraId="7388175C" w14:textId="33B51922"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FE39BF">
              <w:rPr>
                <w:rFonts w:ascii="Arial" w:hAnsi="Arial" w:cs="Arial"/>
                <w:color w:val="000000"/>
                <w:sz w:val="18"/>
                <w:szCs w:val="18"/>
                <w:lang w:val="el-GR"/>
              </w:rPr>
              <w:t xml:space="preserve">                     </w:t>
            </w:r>
            <w:r>
              <w:rPr>
                <w:rFonts w:ascii="Arial" w:hAnsi="Arial" w:cs="Arial"/>
                <w:color w:val="000000"/>
                <w:sz w:val="18"/>
                <w:szCs w:val="18"/>
              </w:rPr>
              <w:t>(21</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46F527FF" w14:textId="0A5F2030"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(21</w:t>
            </w:r>
            <w:r w:rsidR="00454299">
              <w:rPr>
                <w:rFonts w:ascii="Arial" w:hAnsi="Arial" w:cs="Arial"/>
                <w:sz w:val="18"/>
                <w:szCs w:val="18"/>
              </w:rPr>
              <w:t>,</w:t>
            </w:r>
            <w:r w:rsidRPr="000147AB">
              <w:rPr>
                <w:rFonts w:ascii="Arial" w:hAnsi="Arial" w:cs="Arial"/>
                <w:sz w:val="18"/>
                <w:szCs w:val="18"/>
              </w:rPr>
              <w:t>3)</w:t>
            </w:r>
          </w:p>
        </w:tc>
      </w:tr>
      <w:tr w:rsidR="00F90D14" w:rsidRPr="00872FD9" w14:paraId="53EE1FEC" w14:textId="77777777" w:rsidTr="0009084A">
        <w:trPr>
          <w:trHeight w:val="156"/>
        </w:trPr>
        <w:tc>
          <w:tcPr>
            <w:tcW w:w="6379" w:type="dxa"/>
            <w:tcBorders>
              <w:top w:val="nil"/>
              <w:bottom w:val="nil"/>
            </w:tcBorders>
            <w:shd w:val="clear" w:color="auto" w:fill="FFFFFF" w:themeFill="background1"/>
          </w:tcPr>
          <w:p w14:paraId="7C04DD5D" w14:textId="759968B4"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Υπόλοιπο κερδών εις νέο</w:t>
            </w:r>
          </w:p>
        </w:tc>
        <w:tc>
          <w:tcPr>
            <w:tcW w:w="1985" w:type="dxa"/>
            <w:tcBorders>
              <w:top w:val="nil"/>
              <w:bottom w:val="nil"/>
            </w:tcBorders>
            <w:shd w:val="clear" w:color="auto" w:fill="FFFFFF" w:themeFill="background1"/>
            <w:vAlign w:val="center"/>
          </w:tcPr>
          <w:p w14:paraId="01DE0BDB" w14:textId="2646C306"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 xml:space="preserve">                    </w:t>
            </w:r>
            <w:r>
              <w:rPr>
                <w:rFonts w:ascii="Arial" w:hAnsi="Arial" w:cs="Arial"/>
                <w:sz w:val="18"/>
                <w:szCs w:val="18"/>
              </w:rPr>
              <w:t>404</w:t>
            </w:r>
            <w:r w:rsidR="00454299">
              <w:rPr>
                <w:rFonts w:ascii="Arial" w:hAnsi="Arial" w:cs="Arial"/>
                <w:sz w:val="18"/>
                <w:szCs w:val="18"/>
              </w:rPr>
              <w:t>,</w:t>
            </w:r>
            <w:r>
              <w:rPr>
                <w:rFonts w:ascii="Arial" w:hAnsi="Arial" w:cs="Arial"/>
                <w:sz w:val="18"/>
                <w:szCs w:val="18"/>
              </w:rPr>
              <w:t>1</w:t>
            </w:r>
            <w:r w:rsidRPr="000147AB">
              <w:rPr>
                <w:rFonts w:ascii="Arial" w:hAnsi="Arial" w:cs="Arial"/>
                <w:sz w:val="18"/>
                <w:szCs w:val="18"/>
              </w:rPr>
              <w:t xml:space="preserve"> </w:t>
            </w:r>
          </w:p>
        </w:tc>
        <w:tc>
          <w:tcPr>
            <w:tcW w:w="2126" w:type="dxa"/>
            <w:tcBorders>
              <w:top w:val="nil"/>
              <w:bottom w:val="nil"/>
            </w:tcBorders>
            <w:shd w:val="clear" w:color="auto" w:fill="FFFFFF" w:themeFill="background1"/>
            <w:vAlign w:val="center"/>
          </w:tcPr>
          <w:p w14:paraId="3E7970EE" w14:textId="402402BC"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sz w:val="18"/>
                <w:szCs w:val="18"/>
              </w:rPr>
              <w:t xml:space="preserve">                     265</w:t>
            </w:r>
            <w:r w:rsidR="00454299">
              <w:rPr>
                <w:rFonts w:ascii="Arial" w:hAnsi="Arial" w:cs="Arial"/>
                <w:sz w:val="18"/>
                <w:szCs w:val="18"/>
              </w:rPr>
              <w:t>,</w:t>
            </w:r>
            <w:r w:rsidRPr="000147AB">
              <w:rPr>
                <w:rFonts w:ascii="Arial" w:hAnsi="Arial" w:cs="Arial"/>
                <w:sz w:val="18"/>
                <w:szCs w:val="18"/>
              </w:rPr>
              <w:t xml:space="preserve">9 </w:t>
            </w:r>
          </w:p>
        </w:tc>
      </w:tr>
      <w:tr w:rsidR="00F90D14" w:rsidRPr="00872FD9" w14:paraId="05BE7C3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44EBF0" w14:textId="1D73E924" w:rsidR="00F90D14" w:rsidRPr="00872FD9" w:rsidRDefault="00F90D14" w:rsidP="00F90D14">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ιδίων κεφαλαίων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D039DA" w14:textId="7C8933D2"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lang w:val="el-GR"/>
              </w:rPr>
            </w:pPr>
            <w:r w:rsidRPr="000147AB">
              <w:rPr>
                <w:rFonts w:ascii="Arial" w:hAnsi="Arial" w:cs="Arial"/>
                <w:b/>
                <w:sz w:val="18"/>
                <w:szCs w:val="18"/>
              </w:rPr>
              <w:t xml:space="preserve">     2</w:t>
            </w:r>
            <w:r w:rsidR="00454299">
              <w:rPr>
                <w:rFonts w:ascii="Arial" w:hAnsi="Arial" w:cs="Arial"/>
                <w:b/>
                <w:sz w:val="18"/>
                <w:szCs w:val="18"/>
              </w:rPr>
              <w:t>.</w:t>
            </w:r>
            <w:r>
              <w:rPr>
                <w:rFonts w:ascii="Arial" w:hAnsi="Arial" w:cs="Arial"/>
                <w:b/>
                <w:sz w:val="18"/>
                <w:szCs w:val="18"/>
              </w:rPr>
              <w:t>220</w:t>
            </w:r>
            <w:r w:rsidR="00454299">
              <w:rPr>
                <w:rFonts w:ascii="Arial" w:hAnsi="Arial" w:cs="Arial"/>
                <w:b/>
                <w:bCs/>
                <w:sz w:val="18"/>
                <w:szCs w:val="18"/>
              </w:rPr>
              <w:t>,</w:t>
            </w:r>
            <w:r>
              <w:rPr>
                <w:rFonts w:ascii="Arial" w:hAnsi="Arial" w:cs="Arial"/>
                <w:b/>
                <w:bCs/>
                <w:sz w:val="18"/>
                <w:szCs w:val="18"/>
              </w:rPr>
              <w:t>8</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484CFE" w14:textId="30247CCD"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sidRPr="000147AB">
              <w:rPr>
                <w:rFonts w:ascii="Arial" w:hAnsi="Arial" w:cs="Arial"/>
                <w:b/>
                <w:sz w:val="18"/>
                <w:szCs w:val="18"/>
              </w:rPr>
              <w:t xml:space="preserve">     2</w:t>
            </w:r>
            <w:r w:rsidR="00454299">
              <w:rPr>
                <w:rFonts w:ascii="Arial" w:hAnsi="Arial" w:cs="Arial"/>
                <w:b/>
                <w:sz w:val="18"/>
                <w:szCs w:val="18"/>
              </w:rPr>
              <w:t>.</w:t>
            </w:r>
            <w:r w:rsidRPr="000147AB">
              <w:rPr>
                <w:rFonts w:ascii="Arial" w:hAnsi="Arial" w:cs="Arial"/>
                <w:b/>
                <w:bCs/>
                <w:sz w:val="18"/>
                <w:szCs w:val="18"/>
              </w:rPr>
              <w:t>110</w:t>
            </w:r>
            <w:r w:rsidR="00454299">
              <w:rPr>
                <w:rFonts w:ascii="Arial" w:hAnsi="Arial" w:cs="Arial"/>
                <w:b/>
                <w:bCs/>
                <w:sz w:val="18"/>
                <w:szCs w:val="18"/>
              </w:rPr>
              <w:t>,</w:t>
            </w:r>
            <w:r w:rsidRPr="000147AB">
              <w:rPr>
                <w:rFonts w:ascii="Arial" w:hAnsi="Arial" w:cs="Arial"/>
                <w:b/>
                <w:bCs/>
                <w:sz w:val="18"/>
                <w:szCs w:val="18"/>
              </w:rPr>
              <w:t>9</w:t>
            </w:r>
          </w:p>
        </w:tc>
      </w:tr>
      <w:tr w:rsidR="00F90D14" w:rsidRPr="00872FD9" w14:paraId="18094A8A"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033C958D" w14:textId="02C3CA39" w:rsidR="00F90D14" w:rsidRPr="00872FD9" w:rsidRDefault="00F90D14" w:rsidP="00F90D14">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Μακροπρόθεσμες υποχρεώσεις</w:t>
            </w:r>
          </w:p>
        </w:tc>
        <w:tc>
          <w:tcPr>
            <w:tcW w:w="1985" w:type="dxa"/>
            <w:tcBorders>
              <w:top w:val="single" w:sz="2" w:space="0" w:color="808080" w:themeColor="background1" w:themeShade="80"/>
              <w:bottom w:val="nil"/>
            </w:tcBorders>
            <w:shd w:val="clear" w:color="auto" w:fill="FFFFFF" w:themeFill="background1"/>
            <w:vAlign w:val="center"/>
          </w:tcPr>
          <w:p w14:paraId="45C3A913" w14:textId="6CF576CE"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E3A2779" w14:textId="373E52A6"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p>
        </w:tc>
      </w:tr>
      <w:tr w:rsidR="00F90D14" w:rsidRPr="00872FD9" w14:paraId="279A5A42" w14:textId="77777777" w:rsidTr="0009084A">
        <w:trPr>
          <w:trHeight w:val="256"/>
        </w:trPr>
        <w:tc>
          <w:tcPr>
            <w:tcW w:w="6379" w:type="dxa"/>
            <w:tcBorders>
              <w:top w:val="nil"/>
              <w:bottom w:val="nil"/>
            </w:tcBorders>
            <w:shd w:val="clear" w:color="auto" w:fill="FFFFFF" w:themeFill="background1"/>
          </w:tcPr>
          <w:p w14:paraId="0E352E5C" w14:textId="2C318C67"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Μακροπρόθεσμα δάνεια</w:t>
            </w:r>
          </w:p>
        </w:tc>
        <w:tc>
          <w:tcPr>
            <w:tcW w:w="1985" w:type="dxa"/>
            <w:tcBorders>
              <w:top w:val="nil"/>
              <w:bottom w:val="nil"/>
            </w:tcBorders>
            <w:shd w:val="clear" w:color="auto" w:fill="FFFFFF" w:themeFill="background1"/>
            <w:vAlign w:val="center"/>
          </w:tcPr>
          <w:p w14:paraId="5E0FECE4" w14:textId="319956EF"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350</w:t>
            </w:r>
            <w:r w:rsidR="00454299">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23FFCE4E" w14:textId="03E196B9"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350</w:t>
            </w:r>
            <w:r w:rsidR="00454299">
              <w:rPr>
                <w:rFonts w:ascii="Arial" w:hAnsi="Arial" w:cs="Arial"/>
                <w:sz w:val="18"/>
                <w:szCs w:val="18"/>
              </w:rPr>
              <w:t>,</w:t>
            </w:r>
            <w:r w:rsidRPr="000147AB">
              <w:rPr>
                <w:rFonts w:ascii="Arial" w:hAnsi="Arial" w:cs="Arial"/>
                <w:sz w:val="18"/>
                <w:szCs w:val="18"/>
              </w:rPr>
              <w:t xml:space="preserve">0 </w:t>
            </w:r>
          </w:p>
        </w:tc>
      </w:tr>
      <w:tr w:rsidR="00F90D14" w:rsidRPr="00872FD9" w14:paraId="5A8C7849" w14:textId="77777777" w:rsidTr="0009084A">
        <w:trPr>
          <w:trHeight w:val="256"/>
        </w:trPr>
        <w:tc>
          <w:tcPr>
            <w:tcW w:w="6379" w:type="dxa"/>
            <w:tcBorders>
              <w:top w:val="nil"/>
              <w:bottom w:val="nil"/>
            </w:tcBorders>
            <w:shd w:val="clear" w:color="auto" w:fill="FFFFFF" w:themeFill="background1"/>
          </w:tcPr>
          <w:p w14:paraId="543F56AA" w14:textId="03E41EE5"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lang w:val="el-GR"/>
              </w:rPr>
            </w:pPr>
            <w:r w:rsidRPr="00872FD9">
              <w:rPr>
                <w:rFonts w:ascii="Arial" w:hAnsi="Arial" w:cs="Arial"/>
                <w:sz w:val="18"/>
                <w:szCs w:val="18"/>
                <w:lang w:val="el-GR"/>
              </w:rPr>
              <w:t>Πρόβλεψη αποζημίωσης προσωπικού λόγω εξόδου από την υπηρεσία</w:t>
            </w:r>
          </w:p>
        </w:tc>
        <w:tc>
          <w:tcPr>
            <w:tcW w:w="1985" w:type="dxa"/>
            <w:tcBorders>
              <w:top w:val="nil"/>
              <w:bottom w:val="nil"/>
            </w:tcBorders>
            <w:shd w:val="clear" w:color="auto" w:fill="FFFFFF" w:themeFill="background1"/>
            <w:vAlign w:val="center"/>
          </w:tcPr>
          <w:p w14:paraId="01E39BD9" w14:textId="7A7BD017"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96</w:t>
            </w:r>
            <w:r w:rsidR="00454299">
              <w:rPr>
                <w:rFonts w:ascii="Arial" w:hAnsi="Arial" w:cs="Arial"/>
                <w:color w:val="000000"/>
                <w:sz w:val="18"/>
                <w:szCs w:val="18"/>
              </w:rPr>
              <w:t>,</w:t>
            </w:r>
            <w:r>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13DE8477" w14:textId="2113B305"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104</w:t>
            </w:r>
            <w:r w:rsidR="00454299">
              <w:rPr>
                <w:rFonts w:ascii="Arial" w:hAnsi="Arial" w:cs="Arial"/>
                <w:sz w:val="18"/>
                <w:szCs w:val="18"/>
              </w:rPr>
              <w:t>,</w:t>
            </w:r>
            <w:r w:rsidRPr="000147AB">
              <w:rPr>
                <w:rFonts w:ascii="Arial" w:hAnsi="Arial" w:cs="Arial"/>
                <w:sz w:val="18"/>
                <w:szCs w:val="18"/>
              </w:rPr>
              <w:t xml:space="preserve">4 </w:t>
            </w:r>
          </w:p>
        </w:tc>
      </w:tr>
      <w:tr w:rsidR="00F90D14" w:rsidRPr="00872FD9" w14:paraId="69C57CF2" w14:textId="77777777" w:rsidTr="0009084A">
        <w:trPr>
          <w:trHeight w:val="256"/>
        </w:trPr>
        <w:tc>
          <w:tcPr>
            <w:tcW w:w="6379" w:type="dxa"/>
            <w:tcBorders>
              <w:top w:val="nil"/>
              <w:bottom w:val="nil"/>
            </w:tcBorders>
            <w:shd w:val="clear" w:color="auto" w:fill="FFFFFF" w:themeFill="background1"/>
          </w:tcPr>
          <w:p w14:paraId="02B53582" w14:textId="6181E8A4"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Πρόβλεψη για λογαριασμό νεότητας</w:t>
            </w:r>
          </w:p>
        </w:tc>
        <w:tc>
          <w:tcPr>
            <w:tcW w:w="1985" w:type="dxa"/>
            <w:tcBorders>
              <w:top w:val="nil"/>
              <w:bottom w:val="nil"/>
            </w:tcBorders>
            <w:shd w:val="clear" w:color="auto" w:fill="FFFFFF" w:themeFill="background1"/>
            <w:vAlign w:val="center"/>
          </w:tcPr>
          <w:p w14:paraId="537728BC" w14:textId="02C1B1D9"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61</w:t>
            </w:r>
            <w:r w:rsidR="00454299">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1D62939C" w14:textId="68F040DF"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62</w:t>
            </w:r>
            <w:r w:rsidR="00454299">
              <w:rPr>
                <w:rFonts w:ascii="Arial" w:hAnsi="Arial" w:cs="Arial"/>
                <w:sz w:val="18"/>
                <w:szCs w:val="18"/>
              </w:rPr>
              <w:t>,</w:t>
            </w:r>
            <w:r w:rsidRPr="000147AB">
              <w:rPr>
                <w:rFonts w:ascii="Arial" w:hAnsi="Arial" w:cs="Arial"/>
                <w:sz w:val="18"/>
                <w:szCs w:val="18"/>
              </w:rPr>
              <w:t xml:space="preserve">8 </w:t>
            </w:r>
          </w:p>
        </w:tc>
      </w:tr>
      <w:tr w:rsidR="00F90D14" w:rsidRPr="00872FD9" w14:paraId="15EE5394" w14:textId="77777777" w:rsidTr="0009084A">
        <w:trPr>
          <w:trHeight w:val="256"/>
        </w:trPr>
        <w:tc>
          <w:tcPr>
            <w:tcW w:w="6379" w:type="dxa"/>
            <w:tcBorders>
              <w:top w:val="nil"/>
              <w:bottom w:val="nil"/>
            </w:tcBorders>
            <w:shd w:val="clear" w:color="auto" w:fill="FFFFFF" w:themeFill="background1"/>
          </w:tcPr>
          <w:p w14:paraId="3F656A6E" w14:textId="4FC6D749"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Συμβατικές υποχρεώσεις</w:t>
            </w:r>
          </w:p>
        </w:tc>
        <w:tc>
          <w:tcPr>
            <w:tcW w:w="1985" w:type="dxa"/>
            <w:tcBorders>
              <w:top w:val="nil"/>
              <w:bottom w:val="nil"/>
            </w:tcBorders>
            <w:shd w:val="clear" w:color="auto" w:fill="FFFFFF" w:themeFill="background1"/>
            <w:vAlign w:val="center"/>
          </w:tcPr>
          <w:p w14:paraId="23C13916" w14:textId="61AADAAE"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104</w:t>
            </w:r>
            <w:r w:rsidR="00454299">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46B7D835" w14:textId="375868D1"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71</w:t>
            </w:r>
            <w:r w:rsidR="00454299">
              <w:rPr>
                <w:rFonts w:ascii="Arial" w:hAnsi="Arial" w:cs="Arial"/>
                <w:sz w:val="18"/>
                <w:szCs w:val="18"/>
              </w:rPr>
              <w:t>,</w:t>
            </w:r>
            <w:r w:rsidRPr="000147AB">
              <w:rPr>
                <w:rFonts w:ascii="Arial" w:hAnsi="Arial" w:cs="Arial"/>
                <w:sz w:val="18"/>
                <w:szCs w:val="18"/>
              </w:rPr>
              <w:t xml:space="preserve">1 </w:t>
            </w:r>
          </w:p>
        </w:tc>
      </w:tr>
      <w:tr w:rsidR="00F90D14" w:rsidRPr="00872FD9" w14:paraId="4613B257" w14:textId="77777777" w:rsidTr="0009084A">
        <w:trPr>
          <w:trHeight w:val="256"/>
        </w:trPr>
        <w:tc>
          <w:tcPr>
            <w:tcW w:w="6379" w:type="dxa"/>
            <w:tcBorders>
              <w:top w:val="nil"/>
              <w:bottom w:val="nil"/>
            </w:tcBorders>
            <w:shd w:val="clear" w:color="auto" w:fill="FFFFFF" w:themeFill="background1"/>
          </w:tcPr>
          <w:p w14:paraId="5ED42121" w14:textId="1A3DE117"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Υποχρεώσεις από μισθώσεις</w:t>
            </w:r>
          </w:p>
        </w:tc>
        <w:tc>
          <w:tcPr>
            <w:tcW w:w="1985" w:type="dxa"/>
            <w:tcBorders>
              <w:top w:val="nil"/>
              <w:bottom w:val="nil"/>
            </w:tcBorders>
            <w:shd w:val="clear" w:color="auto" w:fill="FFFFFF" w:themeFill="background1"/>
            <w:vAlign w:val="center"/>
          </w:tcPr>
          <w:p w14:paraId="40DAF2AA" w14:textId="5AC66C7E"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160</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2A9C37C1" w14:textId="0607B047"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164</w:t>
            </w:r>
            <w:r w:rsidR="00454299">
              <w:rPr>
                <w:rFonts w:ascii="Arial" w:hAnsi="Arial" w:cs="Arial"/>
                <w:sz w:val="18"/>
                <w:szCs w:val="18"/>
              </w:rPr>
              <w:t>,</w:t>
            </w:r>
            <w:r w:rsidRPr="000147AB">
              <w:rPr>
                <w:rFonts w:ascii="Arial" w:hAnsi="Arial" w:cs="Arial"/>
                <w:sz w:val="18"/>
                <w:szCs w:val="18"/>
              </w:rPr>
              <w:t xml:space="preserve">7 </w:t>
            </w:r>
          </w:p>
        </w:tc>
      </w:tr>
      <w:tr w:rsidR="00F90D14" w:rsidRPr="00872FD9" w14:paraId="3518B4B0" w14:textId="77777777" w:rsidTr="0009084A">
        <w:trPr>
          <w:trHeight w:val="256"/>
        </w:trPr>
        <w:tc>
          <w:tcPr>
            <w:tcW w:w="6379" w:type="dxa"/>
            <w:tcBorders>
              <w:top w:val="nil"/>
              <w:bottom w:val="nil"/>
            </w:tcBorders>
            <w:shd w:val="clear" w:color="auto" w:fill="FFFFFF" w:themeFill="background1"/>
          </w:tcPr>
          <w:p w14:paraId="62C51C04" w14:textId="52F0F377"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Αναβαλλόμενες φορολογικές υποχρεώσεις</w:t>
            </w:r>
          </w:p>
        </w:tc>
        <w:tc>
          <w:tcPr>
            <w:tcW w:w="1985" w:type="dxa"/>
            <w:tcBorders>
              <w:top w:val="nil"/>
              <w:bottom w:val="nil"/>
            </w:tcBorders>
            <w:shd w:val="clear" w:color="auto" w:fill="FFFFFF" w:themeFill="background1"/>
            <w:vAlign w:val="center"/>
          </w:tcPr>
          <w:p w14:paraId="2B3487C6" w14:textId="1FE5913A"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w:t>
            </w:r>
            <w:r w:rsidR="00454299">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194988FB" w14:textId="57D3D975"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0</w:t>
            </w:r>
            <w:r w:rsidR="00454299">
              <w:rPr>
                <w:rFonts w:ascii="Arial" w:hAnsi="Arial" w:cs="Arial"/>
                <w:sz w:val="18"/>
                <w:szCs w:val="18"/>
              </w:rPr>
              <w:t>,</w:t>
            </w:r>
            <w:r w:rsidRPr="000147AB">
              <w:rPr>
                <w:rFonts w:ascii="Arial" w:hAnsi="Arial" w:cs="Arial"/>
                <w:sz w:val="18"/>
                <w:szCs w:val="18"/>
              </w:rPr>
              <w:t xml:space="preserve">9 </w:t>
            </w:r>
          </w:p>
        </w:tc>
      </w:tr>
      <w:tr w:rsidR="00F90D14" w:rsidRPr="00872FD9" w14:paraId="4E22791D" w14:textId="77777777" w:rsidTr="0009084A">
        <w:trPr>
          <w:trHeight w:val="126"/>
        </w:trPr>
        <w:tc>
          <w:tcPr>
            <w:tcW w:w="6379" w:type="dxa"/>
            <w:tcBorders>
              <w:top w:val="nil"/>
              <w:bottom w:val="single" w:sz="2" w:space="0" w:color="808080" w:themeColor="background1" w:themeShade="80"/>
            </w:tcBorders>
            <w:shd w:val="clear" w:color="auto" w:fill="FFFFFF" w:themeFill="background1"/>
          </w:tcPr>
          <w:p w14:paraId="58AC9F1B" w14:textId="00B8FA58" w:rsidR="00F90D14" w:rsidRPr="00872FD9" w:rsidRDefault="00F90D14" w:rsidP="00F90D14">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bCs/>
                <w:sz w:val="18"/>
                <w:szCs w:val="18"/>
                <w:lang w:val="el-GR"/>
              </w:rPr>
              <w:t>Λοιπές μακροπρόθεσμες υποχρεώσεις</w:t>
            </w:r>
          </w:p>
        </w:tc>
        <w:tc>
          <w:tcPr>
            <w:tcW w:w="1985" w:type="dxa"/>
            <w:tcBorders>
              <w:top w:val="nil"/>
              <w:bottom w:val="single" w:sz="2" w:space="0" w:color="808080" w:themeColor="background1" w:themeShade="80"/>
            </w:tcBorders>
            <w:shd w:val="clear" w:color="auto" w:fill="FFFFFF" w:themeFill="background1"/>
            <w:vAlign w:val="center"/>
          </w:tcPr>
          <w:p w14:paraId="0515625D" w14:textId="3D39A59F" w:rsidR="00F90D14" w:rsidRPr="00872FD9" w:rsidRDefault="00F90D14" w:rsidP="00F90D14">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36</w:t>
            </w:r>
            <w:r w:rsidR="00454299">
              <w:rPr>
                <w:rFonts w:ascii="Arial" w:hAnsi="Arial" w:cs="Arial"/>
                <w:color w:val="000000"/>
                <w:sz w:val="18"/>
                <w:szCs w:val="18"/>
              </w:rPr>
              <w:t>,</w:t>
            </w:r>
            <w:r>
              <w:rPr>
                <w:rFonts w:ascii="Arial" w:hAnsi="Arial" w:cs="Arial"/>
                <w:color w:val="000000"/>
                <w:sz w:val="18"/>
                <w:szCs w:val="18"/>
              </w:rPr>
              <w:t>2</w:t>
            </w:r>
          </w:p>
        </w:tc>
        <w:tc>
          <w:tcPr>
            <w:tcW w:w="2126" w:type="dxa"/>
            <w:tcBorders>
              <w:top w:val="nil"/>
              <w:bottom w:val="single" w:sz="2" w:space="0" w:color="808080" w:themeColor="background1" w:themeShade="80"/>
            </w:tcBorders>
            <w:shd w:val="clear" w:color="auto" w:fill="FFFFFF" w:themeFill="background1"/>
            <w:vAlign w:val="center"/>
          </w:tcPr>
          <w:p w14:paraId="206B4428" w14:textId="2474D46A"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lang w:val="el-GR"/>
              </w:rPr>
              <w:t>42</w:t>
            </w:r>
            <w:r w:rsidR="00454299">
              <w:rPr>
                <w:rFonts w:ascii="Arial" w:hAnsi="Arial" w:cs="Arial"/>
                <w:sz w:val="18"/>
                <w:szCs w:val="18"/>
              </w:rPr>
              <w:t>,</w:t>
            </w:r>
            <w:r w:rsidRPr="000147AB">
              <w:rPr>
                <w:rFonts w:ascii="Arial" w:hAnsi="Arial" w:cs="Arial"/>
                <w:sz w:val="18"/>
                <w:szCs w:val="18"/>
                <w:lang w:val="el-GR"/>
              </w:rPr>
              <w:t>0</w:t>
            </w:r>
          </w:p>
        </w:tc>
      </w:tr>
      <w:tr w:rsidR="00F90D14" w:rsidRPr="00872FD9" w14:paraId="4CEAEB6D" w14:textId="77777777" w:rsidTr="00872FD9">
        <w:trPr>
          <w:trHeight w:val="185"/>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EFD976" w14:textId="5368BAD7" w:rsidR="00F90D14" w:rsidRPr="00872FD9" w:rsidRDefault="00F90D14" w:rsidP="00F90D14">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μακροπρόθεσμων υποχρεώσεων</w:t>
            </w:r>
            <w:r w:rsidRPr="00872FD9">
              <w:rPr>
                <w:rFonts w:ascii="Arial" w:hAnsi="Arial" w:cs="Arial"/>
                <w:b/>
                <w:bCs/>
                <w:sz w:val="18"/>
                <w:szCs w:val="18"/>
              </w:rPr>
              <w:t xml:space="preserve"> </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1C79891" w14:textId="40A056D2"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lang w:val="el-GR"/>
              </w:rPr>
            </w:pPr>
            <w:r>
              <w:rPr>
                <w:rFonts w:ascii="Arial" w:hAnsi="Arial" w:cs="Arial"/>
                <w:b/>
                <w:bCs/>
                <w:sz w:val="18"/>
                <w:szCs w:val="18"/>
              </w:rPr>
              <w:t>809</w:t>
            </w:r>
            <w:r w:rsidR="00454299">
              <w:rPr>
                <w:rFonts w:ascii="Arial" w:hAnsi="Arial" w:cs="Arial"/>
                <w:b/>
                <w:bCs/>
                <w:sz w:val="18"/>
                <w:szCs w:val="18"/>
              </w:rPr>
              <w:t>,</w:t>
            </w:r>
            <w:r>
              <w:rPr>
                <w:rFonts w:ascii="Arial" w:hAnsi="Arial" w:cs="Arial"/>
                <w:b/>
                <w:bCs/>
                <w:sz w:val="18"/>
                <w:szCs w:val="18"/>
              </w:rPr>
              <w:t>8</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34AD59" w14:textId="55011BF0"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bCs/>
                <w:sz w:val="18"/>
                <w:szCs w:val="18"/>
                <w:lang w:val="el-GR"/>
              </w:rPr>
              <w:t>795</w:t>
            </w:r>
            <w:r w:rsidR="00454299">
              <w:rPr>
                <w:rFonts w:ascii="Arial" w:hAnsi="Arial" w:cs="Arial"/>
                <w:b/>
                <w:bCs/>
                <w:sz w:val="18"/>
                <w:szCs w:val="18"/>
              </w:rPr>
              <w:t>,</w:t>
            </w:r>
            <w:r w:rsidRPr="000147AB">
              <w:rPr>
                <w:rFonts w:ascii="Arial" w:hAnsi="Arial" w:cs="Arial"/>
                <w:b/>
                <w:bCs/>
                <w:sz w:val="18"/>
                <w:szCs w:val="18"/>
                <w:lang w:val="el-GR"/>
              </w:rPr>
              <w:t>9</w:t>
            </w:r>
          </w:p>
        </w:tc>
      </w:tr>
      <w:tr w:rsidR="00F90D14" w:rsidRPr="00872FD9" w14:paraId="10F98235" w14:textId="77777777" w:rsidTr="0009084A">
        <w:trPr>
          <w:trHeight w:val="256"/>
        </w:trPr>
        <w:tc>
          <w:tcPr>
            <w:tcW w:w="6379" w:type="dxa"/>
            <w:tcBorders>
              <w:top w:val="single" w:sz="2" w:space="0" w:color="808080" w:themeColor="background1" w:themeShade="80"/>
              <w:bottom w:val="nil"/>
            </w:tcBorders>
            <w:shd w:val="clear" w:color="auto" w:fill="FFFFFF" w:themeFill="background1"/>
          </w:tcPr>
          <w:p w14:paraId="633DF19C" w14:textId="73D49EC6" w:rsidR="00F90D14" w:rsidRPr="00872FD9" w:rsidRDefault="00F90D14" w:rsidP="00F90D14">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sz w:val="18"/>
                <w:szCs w:val="18"/>
              </w:rPr>
              <w:t>Βραχυπρόθεσμες υποχρεώσεις</w:t>
            </w:r>
          </w:p>
        </w:tc>
        <w:tc>
          <w:tcPr>
            <w:tcW w:w="1985" w:type="dxa"/>
            <w:tcBorders>
              <w:top w:val="single" w:sz="2" w:space="0" w:color="808080" w:themeColor="background1" w:themeShade="80"/>
              <w:bottom w:val="nil"/>
            </w:tcBorders>
            <w:shd w:val="clear" w:color="auto" w:fill="FFFFFF" w:themeFill="background1"/>
            <w:vAlign w:val="center"/>
          </w:tcPr>
          <w:p w14:paraId="70C605D3" w14:textId="513BBA32"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7DA68F5" w14:textId="31CE450C" w:rsidR="00F90D14" w:rsidRPr="00872FD9" w:rsidRDefault="00F90D14" w:rsidP="00F90D14">
            <w:pPr>
              <w:pStyle w:val="ColorfulList-Accent11"/>
              <w:tabs>
                <w:tab w:val="left" w:pos="0"/>
                <w:tab w:val="left" w:pos="284"/>
              </w:tabs>
              <w:ind w:left="0" w:right="-90"/>
              <w:jc w:val="right"/>
              <w:rPr>
                <w:rFonts w:ascii="Arial" w:hAnsi="Arial" w:cs="Arial"/>
                <w:b/>
                <w:color w:val="000000" w:themeColor="text1"/>
                <w:sz w:val="18"/>
                <w:szCs w:val="18"/>
              </w:rPr>
            </w:pPr>
          </w:p>
        </w:tc>
      </w:tr>
      <w:tr w:rsidR="00804575" w:rsidRPr="00872FD9" w14:paraId="63C172EE" w14:textId="77777777" w:rsidTr="0009084A">
        <w:trPr>
          <w:trHeight w:val="256"/>
        </w:trPr>
        <w:tc>
          <w:tcPr>
            <w:tcW w:w="6379" w:type="dxa"/>
            <w:tcBorders>
              <w:top w:val="nil"/>
              <w:bottom w:val="nil"/>
            </w:tcBorders>
            <w:shd w:val="clear" w:color="auto" w:fill="FFFFFF" w:themeFill="background1"/>
          </w:tcPr>
          <w:p w14:paraId="1F070146" w14:textId="3EDC00F9"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 xml:space="preserve">Προμηθευτές </w:t>
            </w:r>
          </w:p>
        </w:tc>
        <w:tc>
          <w:tcPr>
            <w:tcW w:w="1985" w:type="dxa"/>
            <w:tcBorders>
              <w:top w:val="nil"/>
              <w:bottom w:val="nil"/>
            </w:tcBorders>
            <w:shd w:val="clear" w:color="auto" w:fill="FFFFFF" w:themeFill="background1"/>
            <w:vAlign w:val="center"/>
          </w:tcPr>
          <w:p w14:paraId="0931F9FD" w14:textId="6DD3C744"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841</w:t>
            </w:r>
            <w:r w:rsidR="00454299">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5D5011A3" w14:textId="6F19E59E"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824</w:t>
            </w:r>
            <w:r w:rsidR="00454299">
              <w:rPr>
                <w:rFonts w:ascii="Arial" w:hAnsi="Arial" w:cs="Arial"/>
                <w:sz w:val="18"/>
                <w:szCs w:val="18"/>
              </w:rPr>
              <w:t>,</w:t>
            </w:r>
            <w:r w:rsidRPr="000147AB">
              <w:rPr>
                <w:rFonts w:ascii="Arial" w:hAnsi="Arial" w:cs="Arial"/>
                <w:sz w:val="18"/>
                <w:szCs w:val="18"/>
              </w:rPr>
              <w:t>3</w:t>
            </w:r>
          </w:p>
        </w:tc>
      </w:tr>
      <w:tr w:rsidR="00804575" w:rsidRPr="00872FD9" w14:paraId="06F5AC8C" w14:textId="77777777" w:rsidTr="0009084A">
        <w:trPr>
          <w:trHeight w:val="256"/>
        </w:trPr>
        <w:tc>
          <w:tcPr>
            <w:tcW w:w="6379" w:type="dxa"/>
            <w:tcBorders>
              <w:top w:val="nil"/>
              <w:bottom w:val="nil"/>
            </w:tcBorders>
            <w:shd w:val="clear" w:color="auto" w:fill="FFFFFF" w:themeFill="background1"/>
          </w:tcPr>
          <w:p w14:paraId="3023C6C0" w14:textId="5E2919FF" w:rsidR="00804575" w:rsidRPr="00872FD9" w:rsidRDefault="00804575" w:rsidP="00804575">
            <w:pPr>
              <w:pStyle w:val="ColorfulList-Accent11"/>
              <w:tabs>
                <w:tab w:val="left" w:pos="0"/>
                <w:tab w:val="left" w:pos="284"/>
              </w:tabs>
              <w:ind w:left="0" w:right="-90"/>
              <w:rPr>
                <w:rFonts w:ascii="Arial" w:hAnsi="Arial" w:cs="Arial"/>
                <w:sz w:val="18"/>
                <w:szCs w:val="18"/>
              </w:rPr>
            </w:pPr>
            <w:r w:rsidRPr="00872FD9">
              <w:rPr>
                <w:rFonts w:ascii="Arial" w:hAnsi="Arial" w:cs="Arial"/>
                <w:sz w:val="18"/>
                <w:szCs w:val="18"/>
                <w:lang w:val="el-GR"/>
              </w:rPr>
              <w:t>Βραχυπρόθεσμο μέρος μακροπρόθεσμων δανείων</w:t>
            </w:r>
          </w:p>
        </w:tc>
        <w:tc>
          <w:tcPr>
            <w:tcW w:w="1985" w:type="dxa"/>
            <w:tcBorders>
              <w:top w:val="nil"/>
              <w:bottom w:val="nil"/>
            </w:tcBorders>
            <w:shd w:val="clear" w:color="auto" w:fill="FFFFFF" w:themeFill="background1"/>
            <w:vAlign w:val="center"/>
          </w:tcPr>
          <w:p w14:paraId="678C716A" w14:textId="192F3DE0" w:rsidR="00804575" w:rsidRPr="00872FD9" w:rsidRDefault="00804575" w:rsidP="00804575">
            <w:pPr>
              <w:pStyle w:val="ColorfulList-Accent11"/>
              <w:tabs>
                <w:tab w:val="left" w:pos="0"/>
                <w:tab w:val="left" w:pos="284"/>
              </w:tabs>
              <w:ind w:left="0" w:right="-90"/>
              <w:jc w:val="right"/>
              <w:rPr>
                <w:rFonts w:ascii="Arial" w:hAnsi="Arial" w:cs="Arial"/>
                <w:color w:val="000000"/>
                <w:sz w:val="18"/>
                <w:szCs w:val="18"/>
              </w:rPr>
            </w:pPr>
            <w:r>
              <w:rPr>
                <w:rFonts w:ascii="Arial" w:hAnsi="Arial" w:cs="Arial"/>
                <w:color w:val="000000"/>
                <w:sz w:val="18"/>
                <w:szCs w:val="18"/>
              </w:rPr>
              <w:t>499</w:t>
            </w:r>
            <w:r w:rsidR="00454299">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1E7DC28" w14:textId="0156BFD4" w:rsidR="00804575" w:rsidRPr="00872FD9" w:rsidRDefault="00804575" w:rsidP="00804575">
            <w:pPr>
              <w:pStyle w:val="ColorfulList-Accent11"/>
              <w:tabs>
                <w:tab w:val="left" w:pos="0"/>
                <w:tab w:val="left" w:pos="284"/>
              </w:tabs>
              <w:ind w:left="0" w:right="-90"/>
              <w:jc w:val="right"/>
              <w:rPr>
                <w:rFonts w:ascii="Arial" w:hAnsi="Arial" w:cs="Arial"/>
                <w:sz w:val="18"/>
                <w:szCs w:val="18"/>
              </w:rPr>
            </w:pPr>
            <w:r w:rsidRPr="000147AB">
              <w:rPr>
                <w:rFonts w:ascii="Arial" w:hAnsi="Arial" w:cs="Arial"/>
                <w:sz w:val="18"/>
                <w:szCs w:val="18"/>
              </w:rPr>
              <w:t>499</w:t>
            </w:r>
            <w:r w:rsidR="00454299">
              <w:rPr>
                <w:rFonts w:ascii="Arial" w:hAnsi="Arial" w:cs="Arial"/>
                <w:sz w:val="18"/>
                <w:szCs w:val="18"/>
              </w:rPr>
              <w:t>,</w:t>
            </w:r>
            <w:r>
              <w:rPr>
                <w:rFonts w:ascii="Arial" w:hAnsi="Arial" w:cs="Arial"/>
                <w:sz w:val="18"/>
                <w:szCs w:val="18"/>
                <w:lang w:val="el-GR"/>
              </w:rPr>
              <w:t>4</w:t>
            </w:r>
          </w:p>
        </w:tc>
      </w:tr>
      <w:tr w:rsidR="00804575" w:rsidRPr="00872FD9" w14:paraId="5C491197" w14:textId="77777777" w:rsidTr="0009084A">
        <w:trPr>
          <w:trHeight w:val="256"/>
        </w:trPr>
        <w:tc>
          <w:tcPr>
            <w:tcW w:w="6379" w:type="dxa"/>
            <w:tcBorders>
              <w:top w:val="nil"/>
              <w:bottom w:val="nil"/>
            </w:tcBorders>
            <w:shd w:val="clear" w:color="auto" w:fill="FFFFFF" w:themeFill="background1"/>
          </w:tcPr>
          <w:p w14:paraId="2F3CBCD2" w14:textId="191E31CB"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 xml:space="preserve">Φόρος εισοδήματος </w:t>
            </w:r>
          </w:p>
        </w:tc>
        <w:tc>
          <w:tcPr>
            <w:tcW w:w="1985" w:type="dxa"/>
            <w:tcBorders>
              <w:top w:val="nil"/>
              <w:bottom w:val="nil"/>
            </w:tcBorders>
            <w:shd w:val="clear" w:color="auto" w:fill="FFFFFF" w:themeFill="background1"/>
            <w:vAlign w:val="center"/>
          </w:tcPr>
          <w:p w14:paraId="61B8CD81" w14:textId="2EB4913F"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34</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09B0BCD6" w14:textId="6B162BFB"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27</w:t>
            </w:r>
            <w:r w:rsidR="00454299">
              <w:rPr>
                <w:rFonts w:ascii="Arial" w:hAnsi="Arial" w:cs="Arial"/>
                <w:sz w:val="18"/>
                <w:szCs w:val="18"/>
              </w:rPr>
              <w:t>,</w:t>
            </w:r>
            <w:r w:rsidRPr="000147AB">
              <w:rPr>
                <w:rFonts w:ascii="Arial" w:hAnsi="Arial" w:cs="Arial"/>
                <w:sz w:val="18"/>
                <w:szCs w:val="18"/>
              </w:rPr>
              <w:t xml:space="preserve">4 </w:t>
            </w:r>
          </w:p>
        </w:tc>
      </w:tr>
      <w:tr w:rsidR="00804575" w:rsidRPr="00872FD9" w14:paraId="0212DA02" w14:textId="77777777" w:rsidTr="0009084A">
        <w:trPr>
          <w:trHeight w:val="256"/>
        </w:trPr>
        <w:tc>
          <w:tcPr>
            <w:tcW w:w="6379" w:type="dxa"/>
            <w:tcBorders>
              <w:top w:val="nil"/>
              <w:bottom w:val="nil"/>
            </w:tcBorders>
            <w:shd w:val="clear" w:color="auto" w:fill="FFFFFF" w:themeFill="background1"/>
          </w:tcPr>
          <w:p w14:paraId="4FC16CCA" w14:textId="3668EA59"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Συμβατικές υποχρεώσεις</w:t>
            </w:r>
          </w:p>
        </w:tc>
        <w:tc>
          <w:tcPr>
            <w:tcW w:w="1985" w:type="dxa"/>
            <w:tcBorders>
              <w:top w:val="nil"/>
              <w:bottom w:val="nil"/>
            </w:tcBorders>
            <w:shd w:val="clear" w:color="auto" w:fill="FFFFFF" w:themeFill="background1"/>
            <w:vAlign w:val="center"/>
          </w:tcPr>
          <w:p w14:paraId="55117B4C" w14:textId="05A602B8"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282</w:t>
            </w:r>
            <w:r w:rsidR="00454299">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1AB3E2DC" w14:textId="6DD0D3E7"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286</w:t>
            </w:r>
            <w:r w:rsidR="00454299">
              <w:rPr>
                <w:rFonts w:ascii="Arial" w:hAnsi="Arial" w:cs="Arial"/>
                <w:sz w:val="18"/>
                <w:szCs w:val="18"/>
              </w:rPr>
              <w:t>,</w:t>
            </w:r>
            <w:r w:rsidRPr="000147AB">
              <w:rPr>
                <w:rFonts w:ascii="Arial" w:hAnsi="Arial" w:cs="Arial"/>
                <w:sz w:val="18"/>
                <w:szCs w:val="18"/>
              </w:rPr>
              <w:t xml:space="preserve">7 </w:t>
            </w:r>
          </w:p>
        </w:tc>
      </w:tr>
      <w:tr w:rsidR="00804575" w:rsidRPr="00872FD9" w14:paraId="710D53BD" w14:textId="77777777" w:rsidTr="0009084A">
        <w:trPr>
          <w:trHeight w:val="256"/>
        </w:trPr>
        <w:tc>
          <w:tcPr>
            <w:tcW w:w="6379" w:type="dxa"/>
            <w:tcBorders>
              <w:top w:val="nil"/>
              <w:bottom w:val="nil"/>
            </w:tcBorders>
            <w:shd w:val="clear" w:color="auto" w:fill="FFFFFF" w:themeFill="background1"/>
          </w:tcPr>
          <w:p w14:paraId="69D94C7C" w14:textId="71F33B9C"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Υποχρεώσεις από μισθώσεις</w:t>
            </w:r>
          </w:p>
        </w:tc>
        <w:tc>
          <w:tcPr>
            <w:tcW w:w="1985" w:type="dxa"/>
            <w:tcBorders>
              <w:top w:val="nil"/>
              <w:bottom w:val="nil"/>
            </w:tcBorders>
            <w:shd w:val="clear" w:color="auto" w:fill="FFFFFF" w:themeFill="background1"/>
            <w:vAlign w:val="center"/>
          </w:tcPr>
          <w:p w14:paraId="0D0B97E6" w14:textId="5A7B16E1"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49</w:t>
            </w:r>
            <w:r w:rsidR="00454299">
              <w:rPr>
                <w:rFonts w:ascii="Arial" w:hAnsi="Arial" w:cs="Arial"/>
                <w:color w:val="000000"/>
                <w:sz w:val="18"/>
                <w:szCs w:val="18"/>
              </w:rPr>
              <w:t>,</w:t>
            </w:r>
            <w:r>
              <w:rPr>
                <w:rFonts w:ascii="Arial" w:hAnsi="Arial" w:cs="Arial"/>
                <w:color w:val="000000"/>
                <w:sz w:val="18"/>
                <w:szCs w:val="18"/>
              </w:rPr>
              <w:t>2</w:t>
            </w:r>
          </w:p>
        </w:tc>
        <w:tc>
          <w:tcPr>
            <w:tcW w:w="2126" w:type="dxa"/>
            <w:tcBorders>
              <w:top w:val="nil"/>
              <w:bottom w:val="nil"/>
            </w:tcBorders>
            <w:shd w:val="clear" w:color="auto" w:fill="FFFFFF" w:themeFill="background1"/>
            <w:vAlign w:val="center"/>
          </w:tcPr>
          <w:p w14:paraId="10CF055C" w14:textId="385EF379"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48</w:t>
            </w:r>
            <w:r w:rsidR="00454299">
              <w:rPr>
                <w:rFonts w:ascii="Arial" w:hAnsi="Arial" w:cs="Arial"/>
                <w:sz w:val="18"/>
                <w:szCs w:val="18"/>
              </w:rPr>
              <w:t>,</w:t>
            </w:r>
            <w:r w:rsidRPr="000147AB">
              <w:rPr>
                <w:rFonts w:ascii="Arial" w:hAnsi="Arial" w:cs="Arial"/>
                <w:sz w:val="18"/>
                <w:szCs w:val="18"/>
              </w:rPr>
              <w:t xml:space="preserve">2 </w:t>
            </w:r>
          </w:p>
        </w:tc>
      </w:tr>
      <w:tr w:rsidR="00804575" w:rsidRPr="00872FD9" w14:paraId="0B4A1042" w14:textId="77777777" w:rsidTr="0009084A">
        <w:trPr>
          <w:trHeight w:val="256"/>
        </w:trPr>
        <w:tc>
          <w:tcPr>
            <w:tcW w:w="6379" w:type="dxa"/>
            <w:tcBorders>
              <w:top w:val="nil"/>
              <w:bottom w:val="nil"/>
            </w:tcBorders>
            <w:shd w:val="clear" w:color="auto" w:fill="FFFFFF" w:themeFill="background1"/>
          </w:tcPr>
          <w:p w14:paraId="60F339EC" w14:textId="1B42C35D"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Μερίσματα πληρωτέα</w:t>
            </w:r>
          </w:p>
        </w:tc>
        <w:tc>
          <w:tcPr>
            <w:tcW w:w="1985" w:type="dxa"/>
            <w:tcBorders>
              <w:top w:val="nil"/>
              <w:bottom w:val="nil"/>
            </w:tcBorders>
            <w:shd w:val="clear" w:color="auto" w:fill="FFFFFF" w:themeFill="background1"/>
            <w:vAlign w:val="center"/>
          </w:tcPr>
          <w:p w14:paraId="21D7C7EF" w14:textId="36C227DF"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w:t>
            </w:r>
            <w:r w:rsidR="00454299">
              <w:rPr>
                <w:rFonts w:ascii="Arial" w:hAnsi="Arial" w:cs="Arial"/>
                <w:color w:val="000000"/>
                <w:sz w:val="18"/>
                <w:szCs w:val="18"/>
              </w:rPr>
              <w:t>,</w:t>
            </w:r>
            <w:r>
              <w:rPr>
                <w:rFonts w:ascii="Arial" w:hAnsi="Arial" w:cs="Arial"/>
                <w:color w:val="000000"/>
                <w:sz w:val="18"/>
                <w:szCs w:val="18"/>
              </w:rPr>
              <w:t>3</w:t>
            </w:r>
          </w:p>
        </w:tc>
        <w:tc>
          <w:tcPr>
            <w:tcW w:w="2126" w:type="dxa"/>
            <w:tcBorders>
              <w:top w:val="nil"/>
              <w:bottom w:val="nil"/>
            </w:tcBorders>
            <w:shd w:val="clear" w:color="auto" w:fill="FFFFFF" w:themeFill="background1"/>
            <w:vAlign w:val="center"/>
          </w:tcPr>
          <w:p w14:paraId="6E1DE0E8" w14:textId="43AC79C5"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3</w:t>
            </w:r>
            <w:r w:rsidR="00454299">
              <w:rPr>
                <w:rFonts w:ascii="Arial" w:hAnsi="Arial" w:cs="Arial"/>
                <w:sz w:val="18"/>
                <w:szCs w:val="18"/>
              </w:rPr>
              <w:t>,</w:t>
            </w:r>
            <w:r w:rsidRPr="000147AB">
              <w:rPr>
                <w:rFonts w:ascii="Arial" w:hAnsi="Arial" w:cs="Arial"/>
                <w:sz w:val="18"/>
                <w:szCs w:val="18"/>
              </w:rPr>
              <w:t>0</w:t>
            </w:r>
          </w:p>
        </w:tc>
      </w:tr>
      <w:tr w:rsidR="00804575" w:rsidRPr="00872FD9" w14:paraId="1FB32682" w14:textId="77777777" w:rsidTr="0009084A">
        <w:trPr>
          <w:trHeight w:val="256"/>
        </w:trPr>
        <w:tc>
          <w:tcPr>
            <w:tcW w:w="6379" w:type="dxa"/>
            <w:tcBorders>
              <w:top w:val="nil"/>
              <w:bottom w:val="single" w:sz="2" w:space="0" w:color="808080" w:themeColor="background1" w:themeShade="80"/>
            </w:tcBorders>
            <w:shd w:val="clear" w:color="auto" w:fill="FFFFFF" w:themeFill="background1"/>
          </w:tcPr>
          <w:p w14:paraId="6F2542BA" w14:textId="6B4D8BA4" w:rsidR="00804575" w:rsidRPr="00872FD9" w:rsidRDefault="00804575" w:rsidP="00804575">
            <w:pPr>
              <w:pStyle w:val="ColorfulList-Accent11"/>
              <w:tabs>
                <w:tab w:val="left" w:pos="0"/>
                <w:tab w:val="left" w:pos="284"/>
              </w:tabs>
              <w:ind w:left="0" w:right="-90"/>
              <w:rPr>
                <w:rFonts w:ascii="Arial" w:hAnsi="Arial" w:cs="Arial"/>
                <w:color w:val="000000" w:themeColor="text1"/>
                <w:sz w:val="18"/>
                <w:szCs w:val="18"/>
              </w:rPr>
            </w:pPr>
            <w:r w:rsidRPr="00872FD9">
              <w:rPr>
                <w:rFonts w:ascii="Arial" w:hAnsi="Arial" w:cs="Arial"/>
                <w:sz w:val="18"/>
                <w:szCs w:val="18"/>
              </w:rPr>
              <w:t>Λοιπές βραχυπρόθεσμες υποχρεώσεις</w:t>
            </w:r>
          </w:p>
        </w:tc>
        <w:tc>
          <w:tcPr>
            <w:tcW w:w="1985" w:type="dxa"/>
            <w:tcBorders>
              <w:top w:val="nil"/>
              <w:bottom w:val="single" w:sz="2" w:space="0" w:color="808080" w:themeColor="background1" w:themeShade="80"/>
            </w:tcBorders>
            <w:shd w:val="clear" w:color="auto" w:fill="FFFFFF" w:themeFill="background1"/>
            <w:vAlign w:val="center"/>
          </w:tcPr>
          <w:p w14:paraId="463DEFA0" w14:textId="012A392A" w:rsidR="00804575" w:rsidRPr="00872FD9" w:rsidRDefault="00804575" w:rsidP="00804575">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459</w:t>
            </w:r>
            <w:r w:rsidR="00454299">
              <w:rPr>
                <w:rFonts w:ascii="Arial" w:hAnsi="Arial" w:cs="Arial"/>
                <w:color w:val="000000"/>
                <w:sz w:val="18"/>
                <w:szCs w:val="18"/>
              </w:rPr>
              <w:t>,</w:t>
            </w:r>
            <w:r>
              <w:rPr>
                <w:rFonts w:ascii="Arial" w:hAnsi="Arial" w:cs="Arial"/>
                <w:color w:val="000000"/>
                <w:sz w:val="18"/>
                <w:szCs w:val="18"/>
              </w:rPr>
              <w:t>3</w:t>
            </w:r>
          </w:p>
        </w:tc>
        <w:tc>
          <w:tcPr>
            <w:tcW w:w="2126" w:type="dxa"/>
            <w:tcBorders>
              <w:top w:val="nil"/>
              <w:bottom w:val="single" w:sz="2" w:space="0" w:color="808080" w:themeColor="background1" w:themeShade="80"/>
            </w:tcBorders>
            <w:shd w:val="clear" w:color="auto" w:fill="FFFFFF" w:themeFill="background1"/>
            <w:vAlign w:val="center"/>
          </w:tcPr>
          <w:p w14:paraId="511EA52A" w14:textId="6226EC23"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sz w:val="18"/>
                <w:szCs w:val="18"/>
              </w:rPr>
              <w:t>445</w:t>
            </w:r>
            <w:r w:rsidR="00454299">
              <w:rPr>
                <w:rFonts w:ascii="Arial" w:hAnsi="Arial" w:cs="Arial"/>
                <w:sz w:val="18"/>
                <w:szCs w:val="18"/>
              </w:rPr>
              <w:t>,</w:t>
            </w:r>
            <w:r w:rsidRPr="000147AB">
              <w:rPr>
                <w:rFonts w:ascii="Arial" w:hAnsi="Arial" w:cs="Arial"/>
                <w:sz w:val="18"/>
                <w:szCs w:val="18"/>
              </w:rPr>
              <w:t>4</w:t>
            </w:r>
          </w:p>
        </w:tc>
      </w:tr>
      <w:tr w:rsidR="00804575" w:rsidRPr="00872FD9" w14:paraId="62A5A5EB" w14:textId="77777777" w:rsidTr="00872FD9">
        <w:trPr>
          <w:trHeight w:val="163"/>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tcPr>
          <w:p w14:paraId="0373200F" w14:textId="18F31003" w:rsidR="00804575" w:rsidRPr="00872FD9" w:rsidRDefault="00804575" w:rsidP="00804575">
            <w:pPr>
              <w:pStyle w:val="ColorfulList-Accent11"/>
              <w:tabs>
                <w:tab w:val="left" w:pos="0"/>
                <w:tab w:val="left" w:pos="284"/>
              </w:tabs>
              <w:ind w:left="0" w:right="-90"/>
              <w:rPr>
                <w:rFonts w:ascii="Arial" w:hAnsi="Arial" w:cs="Arial"/>
                <w:b/>
                <w:color w:val="000000" w:themeColor="text1"/>
                <w:sz w:val="18"/>
                <w:szCs w:val="18"/>
              </w:rPr>
            </w:pPr>
            <w:r w:rsidRPr="00872FD9">
              <w:rPr>
                <w:rFonts w:ascii="Arial" w:hAnsi="Arial" w:cs="Arial"/>
                <w:b/>
                <w:bCs/>
                <w:sz w:val="18"/>
                <w:szCs w:val="18"/>
                <w:lang w:val="el-GR"/>
              </w:rPr>
              <w:t>Σύνολο βραχυπρόθεσμων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A4F18F" w14:textId="04DE916C"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lang w:val="el-GR"/>
              </w:rPr>
            </w:pPr>
            <w:r>
              <w:rPr>
                <w:rFonts w:ascii="Arial" w:hAnsi="Arial" w:cs="Arial"/>
                <w:b/>
                <w:color w:val="000000"/>
                <w:sz w:val="18"/>
                <w:szCs w:val="18"/>
              </w:rPr>
              <w:t>2</w:t>
            </w:r>
            <w:r w:rsidR="00454299">
              <w:rPr>
                <w:rFonts w:ascii="Arial" w:hAnsi="Arial" w:cs="Arial"/>
                <w:b/>
                <w:color w:val="000000"/>
                <w:sz w:val="18"/>
                <w:szCs w:val="18"/>
              </w:rPr>
              <w:t>.</w:t>
            </w:r>
            <w:r>
              <w:rPr>
                <w:rFonts w:ascii="Arial" w:hAnsi="Arial" w:cs="Arial"/>
                <w:b/>
                <w:bCs/>
                <w:color w:val="000000"/>
                <w:sz w:val="18"/>
                <w:szCs w:val="18"/>
              </w:rPr>
              <w:t>168</w:t>
            </w:r>
            <w:r w:rsidR="00454299">
              <w:rPr>
                <w:rFonts w:ascii="Arial" w:hAnsi="Arial" w:cs="Arial"/>
                <w:b/>
                <w:bCs/>
                <w:color w:val="000000"/>
                <w:sz w:val="18"/>
                <w:szCs w:val="18"/>
              </w:rPr>
              <w:t>,</w:t>
            </w:r>
            <w:r>
              <w:rPr>
                <w:rFonts w:ascii="Arial" w:hAnsi="Arial" w:cs="Arial"/>
                <w:b/>
                <w:bCs/>
                <w:color w:val="000000"/>
                <w:sz w:val="18"/>
                <w:szCs w:val="18"/>
              </w:rPr>
              <w:t>3</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2D3CE7F" w14:textId="0E89871D"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rPr>
              <w:t>2</w:t>
            </w:r>
            <w:r w:rsidR="00454299">
              <w:rPr>
                <w:rFonts w:ascii="Arial" w:hAnsi="Arial" w:cs="Arial"/>
                <w:b/>
                <w:sz w:val="18"/>
                <w:szCs w:val="18"/>
              </w:rPr>
              <w:t>.</w:t>
            </w:r>
            <w:r w:rsidRPr="000147AB">
              <w:rPr>
                <w:rFonts w:ascii="Arial" w:hAnsi="Arial" w:cs="Arial"/>
                <w:b/>
                <w:bCs/>
                <w:sz w:val="18"/>
                <w:szCs w:val="18"/>
              </w:rPr>
              <w:t>1</w:t>
            </w:r>
            <w:r w:rsidRPr="000147AB">
              <w:rPr>
                <w:rFonts w:ascii="Arial" w:hAnsi="Arial" w:cs="Arial"/>
                <w:b/>
                <w:bCs/>
                <w:sz w:val="18"/>
                <w:szCs w:val="18"/>
                <w:lang w:val="el-GR"/>
              </w:rPr>
              <w:t>3</w:t>
            </w:r>
            <w:r w:rsidRPr="000147AB">
              <w:rPr>
                <w:rFonts w:ascii="Arial" w:hAnsi="Arial" w:cs="Arial"/>
                <w:b/>
                <w:bCs/>
                <w:sz w:val="18"/>
                <w:szCs w:val="18"/>
              </w:rPr>
              <w:t>4</w:t>
            </w:r>
            <w:r w:rsidR="00454299">
              <w:rPr>
                <w:rFonts w:ascii="Arial" w:hAnsi="Arial" w:cs="Arial"/>
                <w:b/>
                <w:bCs/>
                <w:sz w:val="18"/>
                <w:szCs w:val="18"/>
              </w:rPr>
              <w:t>,</w:t>
            </w:r>
            <w:r w:rsidRPr="000147AB">
              <w:rPr>
                <w:rFonts w:ascii="Arial" w:hAnsi="Arial" w:cs="Arial"/>
                <w:b/>
                <w:bCs/>
                <w:sz w:val="18"/>
                <w:szCs w:val="18"/>
                <w:lang w:val="el-GR"/>
              </w:rPr>
              <w:t>4</w:t>
            </w:r>
          </w:p>
        </w:tc>
      </w:tr>
      <w:tr w:rsidR="00804575" w:rsidRPr="00872FD9" w14:paraId="62F4A6EA" w14:textId="77777777" w:rsidTr="00AF637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4E5932" w14:textId="7F00C4CC" w:rsidR="00804575" w:rsidRPr="00872FD9" w:rsidRDefault="00804575" w:rsidP="00804575">
            <w:pPr>
              <w:pStyle w:val="ColorfulList-Accent11"/>
              <w:tabs>
                <w:tab w:val="left" w:pos="0"/>
                <w:tab w:val="left" w:pos="284"/>
              </w:tabs>
              <w:ind w:left="0" w:right="-90"/>
              <w:rPr>
                <w:rFonts w:ascii="Arial" w:hAnsi="Arial" w:cs="Arial"/>
                <w:b/>
                <w:bCs/>
                <w:sz w:val="18"/>
                <w:szCs w:val="18"/>
                <w:lang w:val="el-GR"/>
              </w:rPr>
            </w:pPr>
            <w:r w:rsidRPr="00872FD9">
              <w:rPr>
                <w:rFonts w:ascii="Arial" w:hAnsi="Arial" w:cs="Arial"/>
                <w:b/>
                <w:bCs/>
                <w:sz w:val="18"/>
                <w:szCs w:val="18"/>
                <w:lang w:val="el-GR"/>
              </w:rPr>
              <w:t>Σύνολο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8C0873C" w14:textId="26A09DC0"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lang w:val="el-GR"/>
              </w:rPr>
              <w:t>2</w:t>
            </w:r>
            <w:r w:rsidR="00454299">
              <w:rPr>
                <w:rFonts w:ascii="Arial" w:hAnsi="Arial" w:cs="Arial"/>
                <w:b/>
                <w:sz w:val="18"/>
                <w:szCs w:val="18"/>
              </w:rPr>
              <w:t>.</w:t>
            </w:r>
            <w:r w:rsidRPr="007D14BD">
              <w:rPr>
                <w:rFonts w:ascii="Arial" w:hAnsi="Arial" w:cs="Arial"/>
                <w:b/>
                <w:sz w:val="18"/>
                <w:szCs w:val="18"/>
                <w:lang w:val="el-GR"/>
              </w:rPr>
              <w:t>978</w:t>
            </w:r>
            <w:r w:rsidR="00454299">
              <w:rPr>
                <w:rFonts w:ascii="Arial" w:hAnsi="Arial" w:cs="Arial"/>
                <w:b/>
                <w:sz w:val="18"/>
                <w:szCs w:val="18"/>
                <w:lang w:val="el-GR"/>
              </w:rPr>
              <w:t>,</w:t>
            </w:r>
            <w:r w:rsidRPr="007D14BD">
              <w:rPr>
                <w:rFonts w:ascii="Arial" w:hAnsi="Arial" w:cs="Arial"/>
                <w:b/>
                <w:sz w:val="18"/>
                <w:szCs w:val="18"/>
                <w:lang w:val="el-GR"/>
              </w:rPr>
              <w:t>1</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111238" w14:textId="305C6BFD"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lang w:val="el-GR"/>
              </w:rPr>
              <w:t>2</w:t>
            </w:r>
            <w:r w:rsidR="00454299">
              <w:rPr>
                <w:rFonts w:ascii="Arial" w:hAnsi="Arial" w:cs="Arial"/>
                <w:b/>
                <w:sz w:val="18"/>
                <w:szCs w:val="18"/>
              </w:rPr>
              <w:t>.</w:t>
            </w:r>
            <w:r w:rsidRPr="000147AB">
              <w:rPr>
                <w:rFonts w:ascii="Arial" w:hAnsi="Arial" w:cs="Arial"/>
                <w:b/>
                <w:sz w:val="18"/>
                <w:szCs w:val="18"/>
                <w:lang w:val="el-GR"/>
              </w:rPr>
              <w:t>930</w:t>
            </w:r>
            <w:r w:rsidR="00454299">
              <w:rPr>
                <w:rFonts w:ascii="Arial" w:hAnsi="Arial" w:cs="Arial"/>
                <w:b/>
                <w:sz w:val="18"/>
                <w:szCs w:val="18"/>
              </w:rPr>
              <w:t>,</w:t>
            </w:r>
            <w:r w:rsidRPr="000147AB">
              <w:rPr>
                <w:rFonts w:ascii="Arial" w:hAnsi="Arial" w:cs="Arial"/>
                <w:b/>
                <w:sz w:val="18"/>
                <w:szCs w:val="18"/>
                <w:lang w:val="el-GR"/>
              </w:rPr>
              <w:t>3</w:t>
            </w:r>
          </w:p>
        </w:tc>
      </w:tr>
      <w:tr w:rsidR="00804575" w:rsidRPr="00872FD9" w14:paraId="057A57F3"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021A734" w14:textId="3FB9F943" w:rsidR="00804575" w:rsidRPr="00872FD9" w:rsidRDefault="00804575" w:rsidP="00804575">
            <w:pPr>
              <w:pStyle w:val="ColorfulList-Accent11"/>
              <w:tabs>
                <w:tab w:val="left" w:pos="0"/>
                <w:tab w:val="left" w:pos="284"/>
              </w:tabs>
              <w:ind w:left="0" w:right="-90"/>
              <w:rPr>
                <w:rFonts w:ascii="Arial" w:hAnsi="Arial" w:cs="Arial"/>
                <w:b/>
                <w:color w:val="000000" w:themeColor="text1"/>
                <w:sz w:val="18"/>
                <w:szCs w:val="18"/>
                <w:lang w:val="el-GR"/>
              </w:rPr>
            </w:pPr>
            <w:r w:rsidRPr="00872FD9">
              <w:rPr>
                <w:rFonts w:ascii="Arial" w:hAnsi="Arial" w:cs="Arial"/>
                <w:b/>
                <w:sz w:val="18"/>
                <w:szCs w:val="18"/>
                <w:lang w:val="el-GR"/>
              </w:rPr>
              <w:t>ΣΥΝΟΛΟ ΙΔΙΩΝ ΚΕΦΑΛΑΙΩΝ ΚΑΙ ΥΠΟΧΡΕΩΣΕΩΝ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801E283" w14:textId="0B30130D"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lang w:val="el-GR"/>
              </w:rPr>
            </w:pPr>
            <w:r w:rsidRPr="000147AB">
              <w:rPr>
                <w:rFonts w:ascii="Arial" w:hAnsi="Arial" w:cs="Arial"/>
                <w:b/>
                <w:sz w:val="18"/>
                <w:szCs w:val="18"/>
              </w:rPr>
              <w:t>5</w:t>
            </w:r>
            <w:r w:rsidR="00454299">
              <w:rPr>
                <w:rFonts w:ascii="Arial" w:hAnsi="Arial" w:cs="Arial"/>
                <w:b/>
                <w:sz w:val="18"/>
                <w:szCs w:val="18"/>
              </w:rPr>
              <w:t>.</w:t>
            </w:r>
            <w:r w:rsidRPr="007D14BD">
              <w:rPr>
                <w:rFonts w:ascii="Arial" w:hAnsi="Arial" w:cs="Arial"/>
                <w:b/>
                <w:sz w:val="18"/>
                <w:szCs w:val="18"/>
              </w:rPr>
              <w:t>198</w:t>
            </w:r>
            <w:r w:rsidR="00454299">
              <w:rPr>
                <w:rFonts w:ascii="Arial" w:hAnsi="Arial" w:cs="Arial"/>
                <w:b/>
                <w:sz w:val="18"/>
                <w:szCs w:val="18"/>
              </w:rPr>
              <w:t>,</w:t>
            </w:r>
            <w:r w:rsidRPr="007D14BD">
              <w:rPr>
                <w:rFonts w:ascii="Arial" w:hAnsi="Arial" w:cs="Arial"/>
                <w:b/>
                <w:sz w:val="18"/>
                <w:szCs w:val="18"/>
              </w:rPr>
              <w:t>9</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B5BA29D" w14:textId="0F57F4A2" w:rsidR="00804575" w:rsidRPr="00872FD9" w:rsidRDefault="00804575" w:rsidP="00804575">
            <w:pPr>
              <w:pStyle w:val="ColorfulList-Accent11"/>
              <w:tabs>
                <w:tab w:val="left" w:pos="0"/>
                <w:tab w:val="left" w:pos="284"/>
              </w:tabs>
              <w:ind w:left="0" w:right="-90"/>
              <w:jc w:val="right"/>
              <w:rPr>
                <w:rFonts w:ascii="Arial" w:hAnsi="Arial" w:cs="Arial"/>
                <w:b/>
                <w:color w:val="000000" w:themeColor="text1"/>
                <w:sz w:val="18"/>
                <w:szCs w:val="18"/>
              </w:rPr>
            </w:pPr>
            <w:r w:rsidRPr="000147AB">
              <w:rPr>
                <w:rFonts w:ascii="Arial" w:hAnsi="Arial" w:cs="Arial"/>
                <w:b/>
                <w:sz w:val="18"/>
                <w:szCs w:val="18"/>
              </w:rPr>
              <w:t>5</w:t>
            </w:r>
            <w:r w:rsidR="00454299">
              <w:rPr>
                <w:rFonts w:ascii="Arial" w:hAnsi="Arial" w:cs="Arial"/>
                <w:b/>
                <w:sz w:val="18"/>
                <w:szCs w:val="18"/>
              </w:rPr>
              <w:t>.</w:t>
            </w:r>
            <w:r w:rsidRPr="000147AB">
              <w:rPr>
                <w:rFonts w:ascii="Arial" w:hAnsi="Arial" w:cs="Arial"/>
                <w:b/>
                <w:bCs/>
                <w:sz w:val="18"/>
                <w:szCs w:val="18"/>
                <w:lang w:val="el-GR"/>
              </w:rPr>
              <w:t>041</w:t>
            </w:r>
            <w:r w:rsidR="00454299">
              <w:rPr>
                <w:rFonts w:ascii="Arial" w:hAnsi="Arial" w:cs="Arial"/>
                <w:b/>
                <w:bCs/>
                <w:sz w:val="18"/>
                <w:szCs w:val="18"/>
              </w:rPr>
              <w:t>,</w:t>
            </w:r>
            <w:r w:rsidRPr="000147AB">
              <w:rPr>
                <w:rFonts w:ascii="Arial" w:hAnsi="Arial" w:cs="Arial"/>
                <w:b/>
                <w:bCs/>
                <w:sz w:val="18"/>
                <w:szCs w:val="18"/>
                <w:lang w:val="el-GR"/>
              </w:rPr>
              <w:t>2</w:t>
            </w:r>
          </w:p>
        </w:tc>
      </w:tr>
    </w:tbl>
    <w:p w14:paraId="0648FE6F" w14:textId="77777777" w:rsidR="00236378" w:rsidRDefault="00236378" w:rsidP="00097EA2">
      <w:pPr>
        <w:pStyle w:val="Normal2"/>
        <w:numPr>
          <w:ilvl w:val="0"/>
          <w:numId w:val="0"/>
        </w:numPr>
        <w:tabs>
          <w:tab w:val="num" w:pos="709"/>
        </w:tabs>
        <w:ind w:left="567" w:hanging="283"/>
        <w:rPr>
          <w:rFonts w:cs="Arial"/>
        </w:rPr>
      </w:pPr>
    </w:p>
    <w:p w14:paraId="260A24D8" w14:textId="77777777" w:rsidR="00236378" w:rsidRDefault="00236378">
      <w:pPr>
        <w:rPr>
          <w:rFonts w:ascii="Arial" w:eastAsia="Times New Roman" w:hAnsi="Arial" w:cs="Arial"/>
          <w:b/>
          <w:bCs/>
          <w:color w:val="004E9A"/>
          <w:sz w:val="24"/>
          <w:szCs w:val="24"/>
          <w:lang w:val="en-US" w:eastAsia="el-GR"/>
        </w:rPr>
      </w:pPr>
      <w:r>
        <w:rPr>
          <w:rFonts w:cs="Arial"/>
        </w:rPr>
        <w:br w:type="page"/>
      </w:r>
    </w:p>
    <w:p w14:paraId="4C00D981" w14:textId="68570EE0" w:rsidR="006C4A28" w:rsidRPr="00FB20CB" w:rsidRDefault="006C4A28" w:rsidP="00097EA2">
      <w:pPr>
        <w:pStyle w:val="Normal2"/>
        <w:numPr>
          <w:ilvl w:val="0"/>
          <w:numId w:val="0"/>
        </w:numPr>
        <w:tabs>
          <w:tab w:val="num" w:pos="709"/>
        </w:tabs>
        <w:ind w:left="567" w:hanging="283"/>
        <w:rPr>
          <w:rFonts w:cs="Arial"/>
        </w:rPr>
      </w:pPr>
      <w:r w:rsidRPr="00FB20CB">
        <w:rPr>
          <w:rFonts w:cs="Arial"/>
        </w:rPr>
        <w:lastRenderedPageBreak/>
        <w:t>ΙΙΙ . ΕΝΟΠΟΙΗΜΕΝΗ ΚΑΤΑΣΤΑΣΗ ΑΠΟΤΕΛΕΣΜΑΤΩΝ</w:t>
      </w:r>
      <w:r w:rsidR="00CD35BE">
        <w:rPr>
          <w:rStyle w:val="FootnoteReference"/>
          <w:rFonts w:cs="Arial"/>
        </w:rPr>
        <w:footnoteReference w:id="4"/>
      </w:r>
      <w:r w:rsidRPr="00FB20CB">
        <w:rPr>
          <w:rFonts w:cs="Arial"/>
        </w:rPr>
        <w:t xml:space="preserve"> </w:t>
      </w:r>
    </w:p>
    <w:tbl>
      <w:tblPr>
        <w:tblStyle w:val="TableGrid"/>
        <w:tblW w:w="10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1274"/>
        <w:gridCol w:w="1861"/>
        <w:gridCol w:w="2166"/>
      </w:tblGrid>
      <w:tr w:rsidR="00AB7374" w:rsidRPr="00CA6E28" w14:paraId="2ACBEB04" w14:textId="77777777" w:rsidTr="00AB7374">
        <w:trPr>
          <w:trHeight w:val="320"/>
        </w:trPr>
        <w:tc>
          <w:tcPr>
            <w:tcW w:w="4930" w:type="dxa"/>
            <w:tcBorders>
              <w:bottom w:val="single" w:sz="2" w:space="0" w:color="808080" w:themeColor="background1" w:themeShade="80"/>
            </w:tcBorders>
            <w:vAlign w:val="center"/>
          </w:tcPr>
          <w:p w14:paraId="02E99F7C" w14:textId="759DABF0" w:rsidR="00AB7374" w:rsidRPr="00CA6E28" w:rsidRDefault="00AB7374" w:rsidP="00865185">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rPr>
              <w:t>(</w:t>
            </w:r>
            <w:r w:rsidRPr="00CA6E28">
              <w:rPr>
                <w:rFonts w:ascii="Arial" w:hAnsi="Arial" w:cs="Arial"/>
                <w:b/>
                <w:sz w:val="18"/>
                <w:szCs w:val="18"/>
                <w:lang w:val="el-GR"/>
              </w:rPr>
              <w:t>Ευρώ εκατ.</w:t>
            </w:r>
            <w:r w:rsidRPr="00CA6E28">
              <w:rPr>
                <w:rFonts w:ascii="Arial" w:hAnsi="Arial" w:cs="Arial"/>
                <w:b/>
                <w:sz w:val="18"/>
                <w:szCs w:val="18"/>
              </w:rPr>
              <w:t>)</w:t>
            </w:r>
          </w:p>
        </w:tc>
        <w:tc>
          <w:tcPr>
            <w:tcW w:w="1274" w:type="dxa"/>
            <w:tcBorders>
              <w:bottom w:val="single" w:sz="2" w:space="0" w:color="808080" w:themeColor="background1" w:themeShade="80"/>
            </w:tcBorders>
            <w:vAlign w:val="center"/>
          </w:tcPr>
          <w:p w14:paraId="610AB9C7" w14:textId="789DC1FF" w:rsidR="00AB7374" w:rsidRPr="00AB7374" w:rsidRDefault="00AB7374" w:rsidP="00865185">
            <w:pPr>
              <w:pStyle w:val="ColorfulList-Accent11"/>
              <w:tabs>
                <w:tab w:val="left" w:pos="0"/>
                <w:tab w:val="left" w:pos="284"/>
              </w:tabs>
              <w:ind w:left="0" w:right="-90"/>
              <w:jc w:val="center"/>
              <w:rPr>
                <w:rFonts w:ascii="Arial" w:hAnsi="Arial" w:cs="Arial"/>
                <w:i/>
                <w:sz w:val="18"/>
                <w:szCs w:val="18"/>
                <w:lang w:val="el-GR"/>
              </w:rPr>
            </w:pPr>
            <w:r w:rsidRPr="00CA6E28">
              <w:rPr>
                <w:rFonts w:ascii="Arial" w:hAnsi="Arial" w:cs="Arial"/>
                <w:b/>
                <w:sz w:val="18"/>
                <w:szCs w:val="18"/>
              </w:rPr>
              <w:t>Q</w:t>
            </w:r>
            <w:r>
              <w:rPr>
                <w:rFonts w:ascii="Arial" w:hAnsi="Arial" w:cs="Arial"/>
                <w:b/>
                <w:sz w:val="18"/>
                <w:szCs w:val="18"/>
                <w:lang w:val="el-GR"/>
              </w:rPr>
              <w:t>1</w:t>
            </w:r>
            <w:r w:rsidRPr="00CA6E28">
              <w:rPr>
                <w:rFonts w:ascii="Arial" w:hAnsi="Arial" w:cs="Arial"/>
                <w:b/>
                <w:sz w:val="18"/>
                <w:szCs w:val="18"/>
              </w:rPr>
              <w:t>'2</w:t>
            </w:r>
            <w:r>
              <w:rPr>
                <w:rFonts w:ascii="Arial" w:hAnsi="Arial" w:cs="Arial"/>
                <w:b/>
                <w:sz w:val="18"/>
                <w:szCs w:val="18"/>
                <w:lang w:val="el-GR"/>
              </w:rPr>
              <w:t>6</w:t>
            </w:r>
          </w:p>
        </w:tc>
        <w:tc>
          <w:tcPr>
            <w:tcW w:w="1861" w:type="dxa"/>
            <w:tcBorders>
              <w:bottom w:val="single" w:sz="2" w:space="0" w:color="808080" w:themeColor="background1" w:themeShade="80"/>
            </w:tcBorders>
            <w:vAlign w:val="center"/>
          </w:tcPr>
          <w:p w14:paraId="7385FFDA" w14:textId="5CBBAEA7" w:rsidR="00AB7374" w:rsidRPr="00AB7374" w:rsidRDefault="00AB7374" w:rsidP="00865185">
            <w:pPr>
              <w:pStyle w:val="ColorfulList-Accent11"/>
              <w:tabs>
                <w:tab w:val="left" w:pos="0"/>
                <w:tab w:val="left" w:pos="284"/>
              </w:tabs>
              <w:ind w:left="0" w:right="-90"/>
              <w:jc w:val="center"/>
              <w:rPr>
                <w:rFonts w:ascii="Arial" w:hAnsi="Arial" w:cs="Arial"/>
                <w:i/>
                <w:sz w:val="18"/>
                <w:szCs w:val="18"/>
                <w:lang w:val="el-GR"/>
              </w:rPr>
            </w:pPr>
            <w:r w:rsidRPr="00CA6E28">
              <w:rPr>
                <w:rFonts w:ascii="Arial" w:hAnsi="Arial" w:cs="Arial"/>
                <w:b/>
                <w:sz w:val="18"/>
                <w:szCs w:val="18"/>
              </w:rPr>
              <w:t>Q</w:t>
            </w:r>
            <w:r>
              <w:rPr>
                <w:rFonts w:ascii="Arial" w:hAnsi="Arial" w:cs="Arial"/>
                <w:b/>
                <w:sz w:val="18"/>
                <w:szCs w:val="18"/>
                <w:lang w:val="el-GR"/>
              </w:rPr>
              <w:t>1</w:t>
            </w:r>
            <w:r w:rsidRPr="00CA6E28">
              <w:rPr>
                <w:rFonts w:ascii="Arial" w:hAnsi="Arial" w:cs="Arial"/>
                <w:b/>
                <w:sz w:val="18"/>
                <w:szCs w:val="18"/>
              </w:rPr>
              <w:t>'2</w:t>
            </w:r>
            <w:r>
              <w:rPr>
                <w:rFonts w:ascii="Arial" w:hAnsi="Arial" w:cs="Arial"/>
                <w:b/>
                <w:sz w:val="18"/>
                <w:szCs w:val="18"/>
                <w:lang w:val="el-GR"/>
              </w:rPr>
              <w:t>5</w:t>
            </w:r>
          </w:p>
        </w:tc>
        <w:tc>
          <w:tcPr>
            <w:tcW w:w="2166" w:type="dxa"/>
            <w:tcBorders>
              <w:bottom w:val="single" w:sz="2" w:space="0" w:color="808080" w:themeColor="background1" w:themeShade="80"/>
            </w:tcBorders>
            <w:vAlign w:val="center"/>
          </w:tcPr>
          <w:p w14:paraId="76B531FF" w14:textId="22C54E77" w:rsidR="00AB7374" w:rsidRPr="00CA6E28" w:rsidRDefault="00AB7374" w:rsidP="00865185">
            <w:pPr>
              <w:pStyle w:val="ColorfulList-Accent11"/>
              <w:tabs>
                <w:tab w:val="left" w:pos="0"/>
                <w:tab w:val="left" w:pos="284"/>
              </w:tabs>
              <w:ind w:left="0" w:right="-90"/>
              <w:jc w:val="center"/>
              <w:rPr>
                <w:rFonts w:ascii="Arial" w:hAnsi="Arial" w:cs="Arial"/>
                <w:i/>
                <w:sz w:val="18"/>
                <w:szCs w:val="18"/>
              </w:rPr>
            </w:pPr>
            <w:r w:rsidRPr="00CA6E28">
              <w:rPr>
                <w:rFonts w:ascii="Arial" w:hAnsi="Arial" w:cs="Arial"/>
                <w:b/>
                <w:sz w:val="18"/>
                <w:szCs w:val="18"/>
              </w:rPr>
              <w:t>y-o-y</w:t>
            </w:r>
          </w:p>
        </w:tc>
      </w:tr>
      <w:tr w:rsidR="00AB7374" w:rsidRPr="00CA6E28" w14:paraId="2B5E9D75" w14:textId="77777777" w:rsidTr="007077AF">
        <w:trPr>
          <w:trHeight w:val="256"/>
        </w:trPr>
        <w:tc>
          <w:tcPr>
            <w:tcW w:w="4930" w:type="dxa"/>
            <w:tcBorders>
              <w:top w:val="single" w:sz="2" w:space="0" w:color="808080" w:themeColor="background1" w:themeShade="80"/>
              <w:right w:val="single" w:sz="2" w:space="0" w:color="808080" w:themeColor="background1" w:themeShade="80"/>
            </w:tcBorders>
            <w:vAlign w:val="center"/>
          </w:tcPr>
          <w:p w14:paraId="4E370081" w14:textId="1B99641F" w:rsidR="00AB7374" w:rsidRPr="00CA6E28" w:rsidRDefault="00AB7374" w:rsidP="002620CF">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Σταθερή Τηλεφωνία</w:t>
            </w:r>
            <w:r w:rsidRPr="00CA6E28">
              <w:rPr>
                <w:rFonts w:ascii="Arial" w:hAnsi="Arial" w:cs="Arial"/>
                <w:b/>
                <w:sz w:val="18"/>
                <w:szCs w:val="18"/>
              </w:rPr>
              <w:t>:</w:t>
            </w:r>
          </w:p>
        </w:tc>
        <w:tc>
          <w:tcPr>
            <w:tcW w:w="1274" w:type="dxa"/>
            <w:tcBorders>
              <w:top w:val="single" w:sz="2" w:space="0" w:color="808080" w:themeColor="background1" w:themeShade="80"/>
              <w:left w:val="single" w:sz="2" w:space="0" w:color="808080" w:themeColor="background1" w:themeShade="80"/>
            </w:tcBorders>
            <w:vAlign w:val="center"/>
          </w:tcPr>
          <w:p w14:paraId="6520ED09" w14:textId="77777777" w:rsidR="00AB7374" w:rsidRPr="00CA6E28" w:rsidRDefault="00AB7374" w:rsidP="002620CF">
            <w:pPr>
              <w:pStyle w:val="ColorfulList-Accent11"/>
              <w:tabs>
                <w:tab w:val="left" w:pos="0"/>
                <w:tab w:val="left" w:pos="284"/>
              </w:tabs>
              <w:ind w:left="0" w:right="-90"/>
              <w:jc w:val="center"/>
              <w:rPr>
                <w:rFonts w:ascii="Arial" w:hAnsi="Arial" w:cs="Arial"/>
                <w:i/>
                <w:color w:val="FF0000"/>
                <w:sz w:val="18"/>
                <w:szCs w:val="18"/>
              </w:rPr>
            </w:pPr>
          </w:p>
        </w:tc>
        <w:tc>
          <w:tcPr>
            <w:tcW w:w="1861" w:type="dxa"/>
            <w:tcBorders>
              <w:top w:val="single" w:sz="2" w:space="0" w:color="808080" w:themeColor="background1" w:themeShade="80"/>
            </w:tcBorders>
            <w:vAlign w:val="center"/>
          </w:tcPr>
          <w:p w14:paraId="3B3256E6" w14:textId="77777777" w:rsidR="00AB7374" w:rsidRPr="00CA6E28" w:rsidRDefault="00AB7374" w:rsidP="002620CF">
            <w:pPr>
              <w:pStyle w:val="ColorfulList-Accent11"/>
              <w:tabs>
                <w:tab w:val="left" w:pos="0"/>
                <w:tab w:val="left" w:pos="284"/>
              </w:tabs>
              <w:ind w:left="0" w:right="-90"/>
              <w:jc w:val="center"/>
              <w:rPr>
                <w:rFonts w:ascii="Arial" w:hAnsi="Arial" w:cs="Arial"/>
                <w:i/>
                <w:color w:val="FF0000"/>
                <w:sz w:val="18"/>
                <w:szCs w:val="18"/>
              </w:rPr>
            </w:pPr>
          </w:p>
        </w:tc>
        <w:tc>
          <w:tcPr>
            <w:tcW w:w="2166" w:type="dxa"/>
            <w:tcBorders>
              <w:top w:val="single" w:sz="2" w:space="0" w:color="808080" w:themeColor="background1" w:themeShade="80"/>
            </w:tcBorders>
            <w:vAlign w:val="center"/>
          </w:tcPr>
          <w:p w14:paraId="153C8D39" w14:textId="77777777" w:rsidR="00AB7374" w:rsidRPr="00CA6E28" w:rsidRDefault="00AB7374" w:rsidP="002620CF">
            <w:pPr>
              <w:pStyle w:val="ColorfulList-Accent11"/>
              <w:tabs>
                <w:tab w:val="left" w:pos="0"/>
                <w:tab w:val="left" w:pos="284"/>
              </w:tabs>
              <w:ind w:left="0" w:right="-90"/>
              <w:jc w:val="center"/>
              <w:rPr>
                <w:rFonts w:ascii="Arial" w:hAnsi="Arial" w:cs="Arial"/>
                <w:i/>
                <w:color w:val="FF0000"/>
                <w:sz w:val="18"/>
                <w:szCs w:val="18"/>
              </w:rPr>
            </w:pPr>
          </w:p>
        </w:tc>
      </w:tr>
      <w:tr w:rsidR="00F800E8" w:rsidRPr="00CA6E28" w14:paraId="0FC36FE9" w14:textId="77777777" w:rsidTr="007077AF">
        <w:trPr>
          <w:trHeight w:val="256"/>
        </w:trPr>
        <w:tc>
          <w:tcPr>
            <w:tcW w:w="4930" w:type="dxa"/>
            <w:tcBorders>
              <w:right w:val="single" w:sz="2" w:space="0" w:color="808080" w:themeColor="background1" w:themeShade="80"/>
            </w:tcBorders>
            <w:vAlign w:val="center"/>
          </w:tcPr>
          <w:p w14:paraId="28B6D957" w14:textId="66A2B1D5"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λιανικής</w:t>
            </w:r>
          </w:p>
        </w:tc>
        <w:tc>
          <w:tcPr>
            <w:tcW w:w="1274" w:type="dxa"/>
            <w:tcBorders>
              <w:left w:val="single" w:sz="2" w:space="0" w:color="808080" w:themeColor="background1" w:themeShade="80"/>
            </w:tcBorders>
            <w:vAlign w:val="center"/>
          </w:tcPr>
          <w:p w14:paraId="7D5E54A0" w14:textId="628C0C78"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232</w:t>
            </w:r>
            <w:r w:rsidR="00454299">
              <w:rPr>
                <w:rFonts w:ascii="Arial" w:hAnsi="Arial" w:cs="Arial"/>
                <w:sz w:val="18"/>
                <w:szCs w:val="18"/>
              </w:rPr>
              <w:t>,</w:t>
            </w:r>
            <w:r>
              <w:rPr>
                <w:rFonts w:ascii="Arial" w:hAnsi="Arial" w:cs="Arial"/>
                <w:sz w:val="18"/>
                <w:szCs w:val="18"/>
              </w:rPr>
              <w:t>9</w:t>
            </w:r>
          </w:p>
        </w:tc>
        <w:tc>
          <w:tcPr>
            <w:tcW w:w="1861" w:type="dxa"/>
            <w:vAlign w:val="center"/>
          </w:tcPr>
          <w:p w14:paraId="26E184EC" w14:textId="42B775E0"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230</w:t>
            </w:r>
            <w:r w:rsidR="00454299">
              <w:rPr>
                <w:rFonts w:ascii="Arial" w:hAnsi="Arial" w:cs="Arial"/>
                <w:sz w:val="18"/>
                <w:szCs w:val="18"/>
              </w:rPr>
              <w:t>,</w:t>
            </w:r>
            <w:r>
              <w:rPr>
                <w:rFonts w:ascii="Arial" w:hAnsi="Arial" w:cs="Arial"/>
                <w:sz w:val="18"/>
                <w:szCs w:val="18"/>
              </w:rPr>
              <w:t>4</w:t>
            </w:r>
          </w:p>
        </w:tc>
        <w:tc>
          <w:tcPr>
            <w:tcW w:w="2166" w:type="dxa"/>
            <w:vAlign w:val="center"/>
          </w:tcPr>
          <w:p w14:paraId="34B522E2" w14:textId="7BCFDC34"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1%</w:t>
            </w:r>
          </w:p>
        </w:tc>
      </w:tr>
      <w:tr w:rsidR="00F800E8" w:rsidRPr="00CA6E28" w14:paraId="32EDEF2E" w14:textId="77777777" w:rsidTr="007077AF">
        <w:trPr>
          <w:trHeight w:val="256"/>
        </w:trPr>
        <w:tc>
          <w:tcPr>
            <w:tcW w:w="4930" w:type="dxa"/>
            <w:tcBorders>
              <w:right w:val="single" w:sz="2" w:space="0" w:color="808080" w:themeColor="background1" w:themeShade="80"/>
            </w:tcBorders>
            <w:vAlign w:val="center"/>
          </w:tcPr>
          <w:p w14:paraId="1D3103B5" w14:textId="0A8D178B"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χονδρικής</w:t>
            </w:r>
          </w:p>
        </w:tc>
        <w:tc>
          <w:tcPr>
            <w:tcW w:w="1274" w:type="dxa"/>
            <w:tcBorders>
              <w:left w:val="single" w:sz="2" w:space="0" w:color="808080" w:themeColor="background1" w:themeShade="80"/>
            </w:tcBorders>
            <w:vAlign w:val="center"/>
          </w:tcPr>
          <w:p w14:paraId="06E3A7B0" w14:textId="55DEB6CB"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85</w:t>
            </w:r>
            <w:r w:rsidR="00454299">
              <w:rPr>
                <w:rFonts w:ascii="Arial" w:hAnsi="Arial" w:cs="Arial"/>
                <w:sz w:val="18"/>
                <w:szCs w:val="18"/>
              </w:rPr>
              <w:t>,</w:t>
            </w:r>
            <w:r>
              <w:rPr>
                <w:rFonts w:ascii="Arial" w:hAnsi="Arial" w:cs="Arial"/>
                <w:sz w:val="18"/>
                <w:szCs w:val="18"/>
              </w:rPr>
              <w:t>5</w:t>
            </w:r>
          </w:p>
        </w:tc>
        <w:tc>
          <w:tcPr>
            <w:tcW w:w="1861" w:type="dxa"/>
            <w:vAlign w:val="center"/>
          </w:tcPr>
          <w:p w14:paraId="66A4C262" w14:textId="0B95DDAA"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141</w:t>
            </w:r>
            <w:r w:rsidR="00454299">
              <w:rPr>
                <w:rFonts w:ascii="Arial" w:hAnsi="Arial" w:cs="Arial"/>
                <w:sz w:val="18"/>
                <w:szCs w:val="18"/>
              </w:rPr>
              <w:t>,</w:t>
            </w:r>
            <w:r>
              <w:rPr>
                <w:rFonts w:ascii="Arial" w:hAnsi="Arial" w:cs="Arial"/>
                <w:sz w:val="18"/>
                <w:szCs w:val="18"/>
              </w:rPr>
              <w:t>8</w:t>
            </w:r>
          </w:p>
        </w:tc>
        <w:tc>
          <w:tcPr>
            <w:tcW w:w="2166" w:type="dxa"/>
            <w:vAlign w:val="center"/>
          </w:tcPr>
          <w:p w14:paraId="59C21353" w14:textId="41843855"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-39</w:t>
            </w:r>
            <w:r w:rsidR="00454299">
              <w:rPr>
                <w:rFonts w:ascii="Arial" w:hAnsi="Arial" w:cs="Arial"/>
                <w:sz w:val="18"/>
                <w:szCs w:val="18"/>
              </w:rPr>
              <w:t>,</w:t>
            </w:r>
            <w:r>
              <w:rPr>
                <w:rFonts w:ascii="Arial" w:hAnsi="Arial" w:cs="Arial"/>
                <w:sz w:val="18"/>
                <w:szCs w:val="18"/>
              </w:rPr>
              <w:t>7%</w:t>
            </w:r>
          </w:p>
        </w:tc>
      </w:tr>
      <w:tr w:rsidR="00F800E8" w:rsidRPr="00CA6E28" w14:paraId="6063DBE0" w14:textId="77777777" w:rsidTr="007077AF">
        <w:trPr>
          <w:trHeight w:val="69"/>
        </w:trPr>
        <w:tc>
          <w:tcPr>
            <w:tcW w:w="4930" w:type="dxa"/>
            <w:tcBorders>
              <w:bottom w:val="single" w:sz="2" w:space="0" w:color="808080" w:themeColor="background1" w:themeShade="80"/>
              <w:right w:val="single" w:sz="2" w:space="0" w:color="808080" w:themeColor="background1" w:themeShade="80"/>
            </w:tcBorders>
            <w:vAlign w:val="center"/>
          </w:tcPr>
          <w:p w14:paraId="1E8CCAC6" w14:textId="61CCD6D5"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έσοδα</w:t>
            </w:r>
            <w:r w:rsidRPr="00CA6E28">
              <w:rPr>
                <w:rFonts w:ascii="Arial" w:hAnsi="Arial" w:cs="Arial"/>
                <w:sz w:val="18"/>
                <w:szCs w:val="18"/>
              </w:rPr>
              <w:t xml:space="preserve"> </w:t>
            </w:r>
          </w:p>
        </w:tc>
        <w:tc>
          <w:tcPr>
            <w:tcW w:w="1274" w:type="dxa"/>
            <w:tcBorders>
              <w:left w:val="single" w:sz="2" w:space="0" w:color="808080" w:themeColor="background1" w:themeShade="80"/>
              <w:bottom w:val="single" w:sz="2" w:space="0" w:color="808080" w:themeColor="background1" w:themeShade="80"/>
            </w:tcBorders>
            <w:vAlign w:val="center"/>
          </w:tcPr>
          <w:p w14:paraId="55754F06" w14:textId="15F119BE"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198</w:t>
            </w:r>
            <w:r w:rsidR="00454299">
              <w:rPr>
                <w:rFonts w:ascii="Arial" w:hAnsi="Arial" w:cs="Arial"/>
                <w:sz w:val="18"/>
                <w:szCs w:val="18"/>
              </w:rPr>
              <w:t>,</w:t>
            </w:r>
            <w:r>
              <w:rPr>
                <w:rFonts w:ascii="Arial" w:hAnsi="Arial" w:cs="Arial"/>
                <w:sz w:val="18"/>
                <w:szCs w:val="18"/>
              </w:rPr>
              <w:t>9</w:t>
            </w:r>
          </w:p>
        </w:tc>
        <w:tc>
          <w:tcPr>
            <w:tcW w:w="1861" w:type="dxa"/>
            <w:tcBorders>
              <w:bottom w:val="single" w:sz="2" w:space="0" w:color="808080" w:themeColor="background1" w:themeShade="80"/>
            </w:tcBorders>
            <w:vAlign w:val="center"/>
          </w:tcPr>
          <w:p w14:paraId="10658874" w14:textId="78588668"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126</w:t>
            </w:r>
            <w:r w:rsidR="00454299">
              <w:rPr>
                <w:rFonts w:ascii="Arial" w:hAnsi="Arial" w:cs="Arial"/>
                <w:sz w:val="18"/>
                <w:szCs w:val="18"/>
              </w:rPr>
              <w:t>,</w:t>
            </w:r>
            <w:r>
              <w:rPr>
                <w:rFonts w:ascii="Arial" w:hAnsi="Arial" w:cs="Arial"/>
                <w:sz w:val="18"/>
                <w:szCs w:val="18"/>
              </w:rPr>
              <w:t>7</w:t>
            </w:r>
          </w:p>
        </w:tc>
        <w:tc>
          <w:tcPr>
            <w:tcW w:w="2166" w:type="dxa"/>
            <w:tcBorders>
              <w:bottom w:val="single" w:sz="2" w:space="0" w:color="808080" w:themeColor="background1" w:themeShade="80"/>
            </w:tcBorders>
            <w:vAlign w:val="center"/>
          </w:tcPr>
          <w:p w14:paraId="22307381" w14:textId="059AA6DE"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+57</w:t>
            </w:r>
            <w:r w:rsidR="00454299">
              <w:rPr>
                <w:rFonts w:ascii="Arial" w:hAnsi="Arial" w:cs="Arial"/>
                <w:sz w:val="18"/>
                <w:szCs w:val="18"/>
              </w:rPr>
              <w:t>,</w:t>
            </w:r>
            <w:r>
              <w:rPr>
                <w:rFonts w:ascii="Arial" w:hAnsi="Arial" w:cs="Arial"/>
                <w:sz w:val="18"/>
                <w:szCs w:val="18"/>
              </w:rPr>
              <w:t>0%</w:t>
            </w:r>
          </w:p>
        </w:tc>
      </w:tr>
      <w:tr w:rsidR="00785528" w:rsidRPr="00CA6E28" w14:paraId="2E5D88E3" w14:textId="77777777" w:rsidTr="007077AF">
        <w:trPr>
          <w:trHeight w:val="343"/>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0E2F3E" w14:textId="0A5A9115"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εσόδων σταθερής τηλεφωνίας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BC457D3" w14:textId="389AE1CD"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517</w:t>
            </w:r>
            <w:r w:rsidR="00454299">
              <w:rPr>
                <w:rFonts w:ascii="Arial" w:hAnsi="Arial" w:cs="Arial"/>
                <w:b/>
                <w:bCs/>
                <w:sz w:val="18"/>
                <w:szCs w:val="18"/>
              </w:rPr>
              <w:t>,</w:t>
            </w:r>
            <w:r>
              <w:rPr>
                <w:rFonts w:ascii="Arial" w:hAnsi="Arial" w:cs="Arial"/>
                <w:b/>
                <w:bCs/>
                <w:sz w:val="18"/>
                <w:szCs w:val="18"/>
              </w:rPr>
              <w:t>3</w:t>
            </w: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6A0CE6" w14:textId="187916F2"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498</w:t>
            </w:r>
            <w:r w:rsidR="00454299">
              <w:rPr>
                <w:rFonts w:ascii="Arial" w:hAnsi="Arial" w:cs="Arial"/>
                <w:b/>
                <w:bCs/>
                <w:sz w:val="18"/>
                <w:szCs w:val="18"/>
              </w:rPr>
              <w:t>,</w:t>
            </w:r>
            <w:r>
              <w:rPr>
                <w:rFonts w:ascii="Arial" w:hAnsi="Arial" w:cs="Arial"/>
                <w:b/>
                <w:bCs/>
                <w:sz w:val="18"/>
                <w:szCs w:val="18"/>
              </w:rPr>
              <w:t>9</w:t>
            </w: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D7DA5D3" w14:textId="4A5AE6E9"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sz w:val="18"/>
                <w:szCs w:val="18"/>
              </w:rPr>
              <w:t>+</w:t>
            </w:r>
            <w:r>
              <w:rPr>
                <w:rFonts w:ascii="Arial" w:hAnsi="Arial" w:cs="Arial"/>
                <w:b/>
                <w:bCs/>
                <w:sz w:val="18"/>
                <w:szCs w:val="18"/>
              </w:rPr>
              <w:t>3</w:t>
            </w:r>
            <w:r w:rsidR="00454299">
              <w:rPr>
                <w:rFonts w:ascii="Arial" w:hAnsi="Arial" w:cs="Arial"/>
                <w:b/>
                <w:bCs/>
                <w:sz w:val="18"/>
                <w:szCs w:val="18"/>
              </w:rPr>
              <w:t>,</w:t>
            </w:r>
            <w:r>
              <w:rPr>
                <w:rFonts w:ascii="Arial" w:hAnsi="Arial" w:cs="Arial"/>
                <w:b/>
                <w:bCs/>
                <w:sz w:val="18"/>
                <w:szCs w:val="18"/>
              </w:rPr>
              <w:t>7</w:t>
            </w:r>
            <w:r>
              <w:rPr>
                <w:rFonts w:ascii="Arial" w:hAnsi="Arial" w:cs="Arial"/>
                <w:b/>
                <w:sz w:val="18"/>
                <w:szCs w:val="18"/>
              </w:rPr>
              <w:t>%</w:t>
            </w:r>
          </w:p>
        </w:tc>
      </w:tr>
      <w:tr w:rsidR="00F800E8" w:rsidRPr="00CA6E28" w14:paraId="0A67D645" w14:textId="77777777" w:rsidTr="007077AF">
        <w:trPr>
          <w:trHeight w:val="256"/>
        </w:trPr>
        <w:tc>
          <w:tcPr>
            <w:tcW w:w="4930" w:type="dxa"/>
            <w:tcBorders>
              <w:top w:val="single" w:sz="2" w:space="0" w:color="808080" w:themeColor="background1" w:themeShade="80"/>
              <w:right w:val="single" w:sz="2" w:space="0" w:color="808080" w:themeColor="background1" w:themeShade="80"/>
            </w:tcBorders>
            <w:vAlign w:val="center"/>
          </w:tcPr>
          <w:p w14:paraId="7EBFBA73" w14:textId="4F7C9517"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Κινητή Τηλεφωνία</w:t>
            </w:r>
            <w:r w:rsidRPr="00CA6E28">
              <w:rPr>
                <w:rFonts w:ascii="Arial" w:hAnsi="Arial" w:cs="Arial"/>
                <w:b/>
                <w:sz w:val="18"/>
                <w:szCs w:val="18"/>
              </w:rPr>
              <w:t>:</w:t>
            </w:r>
          </w:p>
        </w:tc>
        <w:tc>
          <w:tcPr>
            <w:tcW w:w="1274" w:type="dxa"/>
            <w:tcBorders>
              <w:top w:val="single" w:sz="2" w:space="0" w:color="808080" w:themeColor="background1" w:themeShade="80"/>
              <w:left w:val="single" w:sz="2" w:space="0" w:color="808080" w:themeColor="background1" w:themeShade="80"/>
            </w:tcBorders>
            <w:vAlign w:val="center"/>
          </w:tcPr>
          <w:p w14:paraId="5C443782" w14:textId="77777777" w:rsidR="00F800E8" w:rsidRPr="00CA6E28" w:rsidRDefault="00F800E8" w:rsidP="00F800E8">
            <w:pPr>
              <w:pStyle w:val="ColorfulList-Accent11"/>
              <w:tabs>
                <w:tab w:val="left" w:pos="0"/>
                <w:tab w:val="left" w:pos="284"/>
              </w:tabs>
              <w:ind w:left="0" w:right="-90"/>
              <w:jc w:val="center"/>
              <w:rPr>
                <w:rFonts w:ascii="Arial" w:hAnsi="Arial" w:cs="Arial"/>
                <w:i/>
                <w:color w:val="FF0000"/>
                <w:sz w:val="18"/>
                <w:szCs w:val="18"/>
              </w:rPr>
            </w:pPr>
          </w:p>
        </w:tc>
        <w:tc>
          <w:tcPr>
            <w:tcW w:w="1861" w:type="dxa"/>
            <w:tcBorders>
              <w:top w:val="single" w:sz="2" w:space="0" w:color="808080" w:themeColor="background1" w:themeShade="80"/>
            </w:tcBorders>
            <w:vAlign w:val="center"/>
          </w:tcPr>
          <w:p w14:paraId="40125875" w14:textId="77777777" w:rsidR="00F800E8" w:rsidRPr="00CA6E28" w:rsidRDefault="00F800E8" w:rsidP="00F800E8">
            <w:pPr>
              <w:pStyle w:val="ColorfulList-Accent11"/>
              <w:tabs>
                <w:tab w:val="left" w:pos="0"/>
                <w:tab w:val="left" w:pos="284"/>
              </w:tabs>
              <w:ind w:left="0" w:right="-90"/>
              <w:jc w:val="center"/>
              <w:rPr>
                <w:rFonts w:ascii="Arial" w:hAnsi="Arial" w:cs="Arial"/>
                <w:i/>
                <w:color w:val="FF0000"/>
                <w:sz w:val="18"/>
                <w:szCs w:val="18"/>
              </w:rPr>
            </w:pPr>
          </w:p>
        </w:tc>
        <w:tc>
          <w:tcPr>
            <w:tcW w:w="2166" w:type="dxa"/>
            <w:tcBorders>
              <w:top w:val="single" w:sz="2" w:space="0" w:color="808080" w:themeColor="background1" w:themeShade="80"/>
            </w:tcBorders>
            <w:vAlign w:val="center"/>
          </w:tcPr>
          <w:p w14:paraId="1AD85F5E" w14:textId="77777777" w:rsidR="00F800E8" w:rsidRPr="00CA6E28" w:rsidRDefault="00F800E8" w:rsidP="00F800E8">
            <w:pPr>
              <w:pStyle w:val="ColorfulList-Accent11"/>
              <w:tabs>
                <w:tab w:val="left" w:pos="0"/>
                <w:tab w:val="left" w:pos="284"/>
              </w:tabs>
              <w:ind w:left="0" w:right="-90"/>
              <w:jc w:val="center"/>
              <w:rPr>
                <w:rFonts w:ascii="Arial" w:hAnsi="Arial" w:cs="Arial"/>
                <w:i/>
                <w:color w:val="FF0000"/>
                <w:sz w:val="18"/>
                <w:szCs w:val="18"/>
              </w:rPr>
            </w:pPr>
          </w:p>
        </w:tc>
      </w:tr>
      <w:tr w:rsidR="00F800E8" w:rsidRPr="00CA6E28" w14:paraId="148C4980" w14:textId="77777777" w:rsidTr="007077AF">
        <w:trPr>
          <w:trHeight w:val="256"/>
        </w:trPr>
        <w:tc>
          <w:tcPr>
            <w:tcW w:w="4930" w:type="dxa"/>
            <w:tcBorders>
              <w:right w:val="single" w:sz="2" w:space="0" w:color="808080" w:themeColor="background1" w:themeShade="80"/>
            </w:tcBorders>
            <w:vAlign w:val="center"/>
          </w:tcPr>
          <w:p w14:paraId="73E00AB1" w14:textId="7970719D"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υπηρεσιών</w:t>
            </w:r>
          </w:p>
        </w:tc>
        <w:tc>
          <w:tcPr>
            <w:tcW w:w="1274" w:type="dxa"/>
            <w:tcBorders>
              <w:left w:val="single" w:sz="2" w:space="0" w:color="808080" w:themeColor="background1" w:themeShade="80"/>
            </w:tcBorders>
            <w:vAlign w:val="center"/>
          </w:tcPr>
          <w:p w14:paraId="5A81A530" w14:textId="27F2456A"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257</w:t>
            </w:r>
            <w:r w:rsidR="00454299">
              <w:rPr>
                <w:rFonts w:ascii="Arial" w:hAnsi="Arial" w:cs="Arial"/>
                <w:sz w:val="18"/>
                <w:szCs w:val="18"/>
              </w:rPr>
              <w:t>,</w:t>
            </w:r>
            <w:r>
              <w:rPr>
                <w:rFonts w:ascii="Arial" w:hAnsi="Arial" w:cs="Arial"/>
                <w:sz w:val="18"/>
                <w:szCs w:val="18"/>
              </w:rPr>
              <w:t>9</w:t>
            </w:r>
          </w:p>
        </w:tc>
        <w:tc>
          <w:tcPr>
            <w:tcW w:w="1861" w:type="dxa"/>
            <w:vAlign w:val="center"/>
          </w:tcPr>
          <w:p w14:paraId="3AAB0079" w14:textId="68DE9794"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244</w:t>
            </w:r>
            <w:r w:rsidR="00454299">
              <w:rPr>
                <w:rFonts w:ascii="Arial" w:hAnsi="Arial" w:cs="Arial"/>
                <w:sz w:val="18"/>
                <w:szCs w:val="18"/>
              </w:rPr>
              <w:t>,</w:t>
            </w:r>
            <w:r>
              <w:rPr>
                <w:rFonts w:ascii="Arial" w:hAnsi="Arial" w:cs="Arial"/>
                <w:sz w:val="18"/>
                <w:szCs w:val="18"/>
              </w:rPr>
              <w:t>5</w:t>
            </w:r>
          </w:p>
        </w:tc>
        <w:tc>
          <w:tcPr>
            <w:tcW w:w="2166" w:type="dxa"/>
            <w:vAlign w:val="center"/>
          </w:tcPr>
          <w:p w14:paraId="4D3DFA39" w14:textId="00FE90C6"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w:t>
            </w:r>
            <w:r w:rsidR="00454299">
              <w:rPr>
                <w:rFonts w:ascii="Arial" w:hAnsi="Arial" w:cs="Arial"/>
                <w:sz w:val="18"/>
                <w:szCs w:val="18"/>
              </w:rPr>
              <w:t>,</w:t>
            </w:r>
            <w:r>
              <w:rPr>
                <w:rFonts w:ascii="Arial" w:hAnsi="Arial" w:cs="Arial"/>
                <w:sz w:val="18"/>
                <w:szCs w:val="18"/>
              </w:rPr>
              <w:t>5%</w:t>
            </w:r>
          </w:p>
        </w:tc>
      </w:tr>
      <w:tr w:rsidR="00F800E8" w:rsidRPr="00CA6E28" w14:paraId="4B896738" w14:textId="77777777" w:rsidTr="007077AF">
        <w:trPr>
          <w:trHeight w:val="256"/>
        </w:trPr>
        <w:tc>
          <w:tcPr>
            <w:tcW w:w="4930" w:type="dxa"/>
            <w:tcBorders>
              <w:right w:val="single" w:sz="2" w:space="0" w:color="808080" w:themeColor="background1" w:themeShade="80"/>
            </w:tcBorders>
            <w:vAlign w:val="center"/>
          </w:tcPr>
          <w:p w14:paraId="473D7941" w14:textId="69C38134"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Έσοδα πώλησης συσκευών</w:t>
            </w:r>
          </w:p>
        </w:tc>
        <w:tc>
          <w:tcPr>
            <w:tcW w:w="1274" w:type="dxa"/>
            <w:tcBorders>
              <w:left w:val="single" w:sz="2" w:space="0" w:color="808080" w:themeColor="background1" w:themeShade="80"/>
            </w:tcBorders>
            <w:vAlign w:val="center"/>
          </w:tcPr>
          <w:p w14:paraId="5BBE9BEC" w14:textId="6DEC21E1"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43</w:t>
            </w:r>
            <w:r w:rsidR="00454299">
              <w:rPr>
                <w:rFonts w:ascii="Arial" w:hAnsi="Arial" w:cs="Arial"/>
                <w:sz w:val="18"/>
                <w:szCs w:val="18"/>
              </w:rPr>
              <w:t>,</w:t>
            </w:r>
            <w:r>
              <w:rPr>
                <w:rFonts w:ascii="Arial" w:hAnsi="Arial" w:cs="Arial"/>
                <w:sz w:val="18"/>
                <w:szCs w:val="18"/>
              </w:rPr>
              <w:t>5</w:t>
            </w:r>
          </w:p>
        </w:tc>
        <w:tc>
          <w:tcPr>
            <w:tcW w:w="1861" w:type="dxa"/>
            <w:vAlign w:val="center"/>
          </w:tcPr>
          <w:p w14:paraId="3A7099C1" w14:textId="2B613B5F"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48</w:t>
            </w:r>
            <w:r w:rsidR="00454299">
              <w:rPr>
                <w:rFonts w:ascii="Arial" w:hAnsi="Arial" w:cs="Arial"/>
                <w:sz w:val="18"/>
                <w:szCs w:val="18"/>
              </w:rPr>
              <w:t>,</w:t>
            </w:r>
            <w:r>
              <w:rPr>
                <w:rFonts w:ascii="Arial" w:hAnsi="Arial" w:cs="Arial"/>
                <w:sz w:val="18"/>
                <w:szCs w:val="18"/>
              </w:rPr>
              <w:t>3</w:t>
            </w:r>
          </w:p>
        </w:tc>
        <w:tc>
          <w:tcPr>
            <w:tcW w:w="2166" w:type="dxa"/>
            <w:vAlign w:val="center"/>
          </w:tcPr>
          <w:p w14:paraId="0CC765F8" w14:textId="54B44F88"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w:t>
            </w:r>
            <w:r w:rsidR="00454299">
              <w:rPr>
                <w:rFonts w:ascii="Arial" w:hAnsi="Arial" w:cs="Arial"/>
                <w:sz w:val="18"/>
                <w:szCs w:val="18"/>
              </w:rPr>
              <w:t>,</w:t>
            </w:r>
            <w:r>
              <w:rPr>
                <w:rFonts w:ascii="Arial" w:hAnsi="Arial" w:cs="Arial"/>
                <w:sz w:val="18"/>
                <w:szCs w:val="18"/>
              </w:rPr>
              <w:t>9%</w:t>
            </w:r>
          </w:p>
        </w:tc>
      </w:tr>
      <w:tr w:rsidR="00F800E8" w:rsidRPr="00CA6E28" w14:paraId="0BDD367A" w14:textId="77777777" w:rsidTr="007077AF">
        <w:trPr>
          <w:trHeight w:val="69"/>
        </w:trPr>
        <w:tc>
          <w:tcPr>
            <w:tcW w:w="4930" w:type="dxa"/>
            <w:tcBorders>
              <w:bottom w:val="single" w:sz="2" w:space="0" w:color="808080" w:themeColor="background1" w:themeShade="80"/>
              <w:right w:val="single" w:sz="2" w:space="0" w:color="808080" w:themeColor="background1" w:themeShade="80"/>
            </w:tcBorders>
            <w:vAlign w:val="center"/>
          </w:tcPr>
          <w:p w14:paraId="752A94F6" w14:textId="0C409AC2"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έσοδα</w:t>
            </w:r>
          </w:p>
        </w:tc>
        <w:tc>
          <w:tcPr>
            <w:tcW w:w="1274" w:type="dxa"/>
            <w:tcBorders>
              <w:left w:val="single" w:sz="2" w:space="0" w:color="808080" w:themeColor="background1" w:themeShade="80"/>
              <w:bottom w:val="single" w:sz="2" w:space="0" w:color="808080" w:themeColor="background1" w:themeShade="80"/>
            </w:tcBorders>
            <w:vAlign w:val="center"/>
          </w:tcPr>
          <w:p w14:paraId="3125EAAC" w14:textId="7833FD02"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7</w:t>
            </w:r>
          </w:p>
        </w:tc>
        <w:tc>
          <w:tcPr>
            <w:tcW w:w="1861" w:type="dxa"/>
            <w:tcBorders>
              <w:bottom w:val="single" w:sz="2" w:space="0" w:color="808080" w:themeColor="background1" w:themeShade="80"/>
            </w:tcBorders>
            <w:vAlign w:val="center"/>
          </w:tcPr>
          <w:p w14:paraId="16A88B66" w14:textId="6E85D62B"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7</w:t>
            </w:r>
          </w:p>
        </w:tc>
        <w:tc>
          <w:tcPr>
            <w:tcW w:w="2166" w:type="dxa"/>
            <w:tcBorders>
              <w:bottom w:val="single" w:sz="2" w:space="0" w:color="808080" w:themeColor="background1" w:themeShade="80"/>
            </w:tcBorders>
            <w:vAlign w:val="center"/>
          </w:tcPr>
          <w:p w14:paraId="5AF88366" w14:textId="48A27D86"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w:t>
            </w:r>
          </w:p>
        </w:tc>
      </w:tr>
      <w:tr w:rsidR="00785528" w:rsidRPr="00CA6E28" w14:paraId="791658F9"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6CD8AE" w14:textId="257DC96A"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εσόδων κινητής τηλεφωνίας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A068BE" w14:textId="10E52821"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302</w:t>
            </w:r>
            <w:r w:rsidR="00454299">
              <w:rPr>
                <w:rFonts w:ascii="Arial" w:hAnsi="Arial" w:cs="Arial"/>
                <w:b/>
                <w:bCs/>
                <w:sz w:val="18"/>
                <w:szCs w:val="18"/>
              </w:rPr>
              <w:t>,</w:t>
            </w:r>
            <w:r>
              <w:rPr>
                <w:rFonts w:ascii="Arial" w:hAnsi="Arial" w:cs="Arial"/>
                <w:b/>
                <w:bCs/>
                <w:sz w:val="18"/>
                <w:szCs w:val="18"/>
              </w:rPr>
              <w:t>1</w:t>
            </w: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3DF347D" w14:textId="5D5F7306"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293</w:t>
            </w:r>
            <w:r w:rsidR="00454299">
              <w:rPr>
                <w:rFonts w:ascii="Arial" w:hAnsi="Arial" w:cs="Arial"/>
                <w:b/>
                <w:bCs/>
                <w:sz w:val="18"/>
                <w:szCs w:val="18"/>
              </w:rPr>
              <w:t>,</w:t>
            </w:r>
            <w:r>
              <w:rPr>
                <w:rFonts w:ascii="Arial" w:hAnsi="Arial" w:cs="Arial"/>
                <w:b/>
                <w:bCs/>
                <w:sz w:val="18"/>
                <w:szCs w:val="18"/>
              </w:rPr>
              <w:t>5</w:t>
            </w: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ED75CE" w14:textId="127DCD4A"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sz w:val="18"/>
                <w:szCs w:val="18"/>
              </w:rPr>
              <w:t>+</w:t>
            </w:r>
            <w:r>
              <w:rPr>
                <w:rFonts w:ascii="Arial" w:hAnsi="Arial" w:cs="Arial"/>
                <w:b/>
                <w:bCs/>
                <w:sz w:val="18"/>
                <w:szCs w:val="18"/>
              </w:rPr>
              <w:t>2</w:t>
            </w:r>
            <w:r w:rsidR="00454299">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r>
      <w:tr w:rsidR="00785528" w:rsidRPr="00CA6E28" w14:paraId="5FFAF834"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C52BB3" w14:textId="65A49F2D"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Λοιπά έσοδα</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F4E423" w14:textId="519520B5"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40</w:t>
            </w:r>
            <w:r w:rsidR="00454299">
              <w:rPr>
                <w:rFonts w:ascii="Arial" w:hAnsi="Arial" w:cs="Arial"/>
                <w:b/>
                <w:bCs/>
                <w:sz w:val="18"/>
                <w:szCs w:val="18"/>
              </w:rPr>
              <w:t>,</w:t>
            </w:r>
            <w:r>
              <w:rPr>
                <w:rFonts w:ascii="Arial" w:hAnsi="Arial" w:cs="Arial"/>
                <w:b/>
                <w:bCs/>
                <w:sz w:val="18"/>
                <w:szCs w:val="18"/>
              </w:rPr>
              <w:t>0</w:t>
            </w: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7E0E177" w14:textId="6F12E55A"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26</w:t>
            </w:r>
            <w:r w:rsidR="00454299">
              <w:rPr>
                <w:rFonts w:ascii="Arial" w:hAnsi="Arial" w:cs="Arial"/>
                <w:b/>
                <w:bCs/>
                <w:sz w:val="18"/>
                <w:szCs w:val="18"/>
              </w:rPr>
              <w:t>,</w:t>
            </w:r>
            <w:r>
              <w:rPr>
                <w:rFonts w:ascii="Arial" w:hAnsi="Arial" w:cs="Arial"/>
                <w:b/>
                <w:bCs/>
                <w:sz w:val="18"/>
                <w:szCs w:val="18"/>
              </w:rPr>
              <w:t>5</w:t>
            </w: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366865" w14:textId="6587A906" w:rsidR="00F800E8" w:rsidRPr="00CA6E28" w:rsidRDefault="00F800E8" w:rsidP="00F800E8">
            <w:pPr>
              <w:jc w:val="center"/>
              <w:rPr>
                <w:rFonts w:ascii="Arial" w:hAnsi="Arial" w:cs="Arial"/>
                <w:b/>
                <w:bCs/>
                <w:color w:val="FF0000"/>
                <w:sz w:val="18"/>
                <w:szCs w:val="18"/>
                <w:lang w:val="el-GR"/>
              </w:rPr>
            </w:pPr>
            <w:r>
              <w:rPr>
                <w:rFonts w:ascii="Arial" w:hAnsi="Arial" w:cs="Arial"/>
                <w:b/>
                <w:sz w:val="18"/>
                <w:szCs w:val="18"/>
              </w:rPr>
              <w:t>+</w:t>
            </w:r>
            <w:r>
              <w:rPr>
                <w:rFonts w:ascii="Arial" w:hAnsi="Arial" w:cs="Arial"/>
                <w:b/>
                <w:bCs/>
                <w:sz w:val="18"/>
                <w:szCs w:val="18"/>
              </w:rPr>
              <w:t>50</w:t>
            </w:r>
            <w:r w:rsidR="00454299">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r>
      <w:tr w:rsidR="00785528" w:rsidRPr="00CA6E28" w14:paraId="701BF8D2" w14:textId="77777777" w:rsidTr="007077AF">
        <w:trPr>
          <w:trHeight w:val="111"/>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FB285F6" w14:textId="22974187"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Σύνολο κύκλου εργασιών</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A3E09A6" w14:textId="742D7070"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859</w:t>
            </w:r>
            <w:r w:rsidR="00454299">
              <w:rPr>
                <w:rFonts w:ascii="Arial" w:hAnsi="Arial" w:cs="Arial"/>
                <w:b/>
                <w:bCs/>
                <w:sz w:val="18"/>
                <w:szCs w:val="18"/>
              </w:rPr>
              <w:t>,</w:t>
            </w:r>
            <w:r>
              <w:rPr>
                <w:rFonts w:ascii="Arial" w:hAnsi="Arial" w:cs="Arial"/>
                <w:b/>
                <w:bCs/>
                <w:sz w:val="18"/>
                <w:szCs w:val="18"/>
              </w:rPr>
              <w:t>4</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0501B1" w14:textId="30B21B2B"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818</w:t>
            </w:r>
            <w:r w:rsidR="00454299">
              <w:rPr>
                <w:rFonts w:ascii="Arial" w:hAnsi="Arial" w:cs="Arial"/>
                <w:b/>
                <w:bCs/>
                <w:sz w:val="18"/>
                <w:szCs w:val="18"/>
              </w:rPr>
              <w:t>,</w:t>
            </w:r>
            <w:r>
              <w:rPr>
                <w:rFonts w:ascii="Arial" w:hAnsi="Arial" w:cs="Arial"/>
                <w:b/>
                <w:bCs/>
                <w:sz w:val="18"/>
                <w:szCs w:val="18"/>
              </w:rPr>
              <w:t>9</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01EBBB7" w14:textId="2DA70B6D"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sz w:val="18"/>
                <w:szCs w:val="18"/>
              </w:rPr>
              <w:t>+</w:t>
            </w:r>
            <w:r>
              <w:rPr>
                <w:rFonts w:ascii="Arial" w:hAnsi="Arial" w:cs="Arial"/>
                <w:b/>
                <w:bCs/>
                <w:sz w:val="18"/>
                <w:szCs w:val="18"/>
              </w:rPr>
              <w:t>4</w:t>
            </w:r>
            <w:r w:rsidR="00454299">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r>
      <w:tr w:rsidR="00785528" w:rsidRPr="00CA6E28" w14:paraId="394012DD"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B7D8470" w14:textId="7A4484B1"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Λοιπά λειτουργικά έσοδα</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43B8767A" w14:textId="2A6E2B0F"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sz w:val="18"/>
                <w:szCs w:val="18"/>
              </w:rPr>
              <w:t>2</w:t>
            </w:r>
            <w:r w:rsidR="00454299">
              <w:rPr>
                <w:rFonts w:ascii="Arial" w:hAnsi="Arial" w:cs="Arial"/>
                <w:b/>
                <w:bCs/>
                <w:sz w:val="18"/>
                <w:szCs w:val="18"/>
              </w:rPr>
              <w:t>,</w:t>
            </w:r>
            <w:r>
              <w:rPr>
                <w:rFonts w:ascii="Arial" w:hAnsi="Arial" w:cs="Arial"/>
                <w:b/>
                <w:bCs/>
                <w:sz w:val="18"/>
                <w:szCs w:val="18"/>
              </w:rPr>
              <w:t>8</w:t>
            </w:r>
          </w:p>
        </w:tc>
        <w:tc>
          <w:tcPr>
            <w:tcW w:w="186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6A5ECD5" w14:textId="66275BF8"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1</w:t>
            </w:r>
            <w:r w:rsidR="00454299">
              <w:rPr>
                <w:rFonts w:ascii="Arial" w:hAnsi="Arial" w:cs="Arial"/>
                <w:b/>
                <w:bCs/>
                <w:sz w:val="18"/>
                <w:szCs w:val="18"/>
              </w:rPr>
              <w:t>,</w:t>
            </w:r>
            <w:r>
              <w:rPr>
                <w:rFonts w:ascii="Arial" w:hAnsi="Arial" w:cs="Arial"/>
                <w:b/>
                <w:bCs/>
                <w:sz w:val="18"/>
                <w:szCs w:val="18"/>
              </w:rPr>
              <w:t>3</w:t>
            </w:r>
          </w:p>
        </w:tc>
        <w:tc>
          <w:tcPr>
            <w:tcW w:w="2166"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67B57EE" w14:textId="15443A10"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sz w:val="18"/>
                <w:szCs w:val="18"/>
              </w:rPr>
              <w:t>+</w:t>
            </w:r>
            <w:r>
              <w:rPr>
                <w:rFonts w:ascii="Arial" w:hAnsi="Arial" w:cs="Arial"/>
                <w:b/>
                <w:bCs/>
                <w:sz w:val="18"/>
                <w:szCs w:val="18"/>
              </w:rPr>
              <w:t>115</w:t>
            </w:r>
            <w:r w:rsidR="00454299">
              <w:rPr>
                <w:rFonts w:ascii="Arial" w:hAnsi="Arial" w:cs="Arial"/>
                <w:b/>
                <w:bCs/>
                <w:sz w:val="18"/>
                <w:szCs w:val="18"/>
              </w:rPr>
              <w:t>,</w:t>
            </w:r>
            <w:r>
              <w:rPr>
                <w:rFonts w:ascii="Arial" w:hAnsi="Arial" w:cs="Arial"/>
                <w:b/>
                <w:bCs/>
                <w:sz w:val="18"/>
                <w:szCs w:val="18"/>
              </w:rPr>
              <w:t>4</w:t>
            </w:r>
            <w:r>
              <w:rPr>
                <w:rFonts w:ascii="Arial" w:hAnsi="Arial" w:cs="Arial"/>
                <w:b/>
                <w:sz w:val="18"/>
                <w:szCs w:val="18"/>
              </w:rPr>
              <w:t>%</w:t>
            </w:r>
          </w:p>
        </w:tc>
      </w:tr>
      <w:tr w:rsidR="00785528" w:rsidRPr="00CA6E28" w14:paraId="39C993FB" w14:textId="77777777" w:rsidTr="007077AF">
        <w:trPr>
          <w:trHeight w:val="7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1CEB77" w14:textId="31DEADF4"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lang w:val="el-GR"/>
              </w:rPr>
              <w:t>Λειτουργικά έξοδα</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3BB92D" w14:textId="0798B039"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33BF8A6" w14:textId="0D1F5F53"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EBEB12D" w14:textId="68E3FAF4"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lang w:val="el-GR"/>
              </w:rPr>
            </w:pPr>
          </w:p>
        </w:tc>
      </w:tr>
      <w:tr w:rsidR="00785528" w:rsidRPr="00CA6E28" w14:paraId="60821548" w14:textId="77777777" w:rsidTr="007077AF">
        <w:trPr>
          <w:trHeight w:val="256"/>
        </w:trPr>
        <w:tc>
          <w:tcPr>
            <w:tcW w:w="4930"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17310D04" w14:textId="46C436F7"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sz w:val="18"/>
                <w:szCs w:val="18"/>
                <w:lang w:val="el-GR"/>
              </w:rPr>
              <w:t>Έξοδα διασύνδεσης και περιαγωγής</w:t>
            </w:r>
          </w:p>
        </w:tc>
        <w:tc>
          <w:tcPr>
            <w:tcW w:w="1274"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57A4A02E" w14:textId="0537815A"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(47</w:t>
            </w:r>
            <w:r w:rsidR="00454299">
              <w:rPr>
                <w:rFonts w:ascii="Arial" w:hAnsi="Arial" w:cs="Arial"/>
                <w:sz w:val="18"/>
                <w:szCs w:val="18"/>
              </w:rPr>
              <w:t>,</w:t>
            </w:r>
            <w:r>
              <w:rPr>
                <w:rFonts w:ascii="Arial" w:hAnsi="Arial" w:cs="Arial"/>
                <w:sz w:val="18"/>
                <w:szCs w:val="18"/>
              </w:rPr>
              <w:t>4)</w:t>
            </w:r>
          </w:p>
        </w:tc>
        <w:tc>
          <w:tcPr>
            <w:tcW w:w="1861" w:type="dxa"/>
            <w:tcBorders>
              <w:top w:val="single" w:sz="2" w:space="0" w:color="808080" w:themeColor="background1" w:themeShade="80"/>
            </w:tcBorders>
            <w:shd w:val="clear" w:color="auto" w:fill="FFFFFF" w:themeFill="background1"/>
            <w:vAlign w:val="center"/>
          </w:tcPr>
          <w:p w14:paraId="61A1DB8D" w14:textId="2796AD85"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(100</w:t>
            </w:r>
            <w:r w:rsidR="00454299">
              <w:rPr>
                <w:rFonts w:ascii="Arial" w:hAnsi="Arial" w:cs="Arial"/>
                <w:sz w:val="18"/>
                <w:szCs w:val="18"/>
              </w:rPr>
              <w:t>,</w:t>
            </w:r>
            <w:r>
              <w:rPr>
                <w:rFonts w:ascii="Arial" w:hAnsi="Arial" w:cs="Arial"/>
                <w:sz w:val="18"/>
                <w:szCs w:val="18"/>
              </w:rPr>
              <w:t>5)</w:t>
            </w:r>
          </w:p>
        </w:tc>
        <w:tc>
          <w:tcPr>
            <w:tcW w:w="2166" w:type="dxa"/>
            <w:tcBorders>
              <w:top w:val="single" w:sz="2" w:space="0" w:color="808080" w:themeColor="background1" w:themeShade="80"/>
            </w:tcBorders>
            <w:shd w:val="clear" w:color="auto" w:fill="FFFFFF" w:themeFill="background1"/>
            <w:vAlign w:val="center"/>
          </w:tcPr>
          <w:p w14:paraId="19709E12" w14:textId="39C38C6E"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-52</w:t>
            </w:r>
            <w:r w:rsidR="00454299">
              <w:rPr>
                <w:rFonts w:ascii="Arial" w:hAnsi="Arial" w:cs="Arial"/>
                <w:sz w:val="18"/>
                <w:szCs w:val="18"/>
              </w:rPr>
              <w:t>,</w:t>
            </w:r>
            <w:r>
              <w:rPr>
                <w:rFonts w:ascii="Arial" w:hAnsi="Arial" w:cs="Arial"/>
                <w:sz w:val="18"/>
                <w:szCs w:val="18"/>
              </w:rPr>
              <w:t>8%</w:t>
            </w:r>
          </w:p>
        </w:tc>
      </w:tr>
      <w:tr w:rsidR="002C65B4" w:rsidRPr="00CA6E28" w14:paraId="155E139F" w14:textId="77777777" w:rsidTr="007077AF">
        <w:trPr>
          <w:trHeight w:val="267"/>
        </w:trPr>
        <w:tc>
          <w:tcPr>
            <w:tcW w:w="4930" w:type="dxa"/>
            <w:tcBorders>
              <w:right w:val="single" w:sz="2" w:space="0" w:color="808080" w:themeColor="background1" w:themeShade="80"/>
            </w:tcBorders>
            <w:shd w:val="clear" w:color="auto" w:fill="FFFFFF" w:themeFill="background1"/>
            <w:vAlign w:val="center"/>
          </w:tcPr>
          <w:p w14:paraId="15213908" w14:textId="707D8CF3" w:rsidR="00F800E8" w:rsidRPr="00CA6E28" w:rsidRDefault="00F800E8" w:rsidP="00F800E8">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Πρόβλεψη για αναμενόμενες πιστωτικές ζημιές</w:t>
            </w:r>
          </w:p>
        </w:tc>
        <w:tc>
          <w:tcPr>
            <w:tcW w:w="1274" w:type="dxa"/>
            <w:tcBorders>
              <w:left w:val="single" w:sz="2" w:space="0" w:color="808080" w:themeColor="background1" w:themeShade="80"/>
            </w:tcBorders>
            <w:shd w:val="clear" w:color="auto" w:fill="FFFFFF" w:themeFill="background1"/>
            <w:vAlign w:val="center"/>
          </w:tcPr>
          <w:p w14:paraId="70F1ED0C" w14:textId="78908298"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w:t>
            </w:r>
            <w:r w:rsidR="00454299">
              <w:rPr>
                <w:rFonts w:ascii="Arial" w:hAnsi="Arial" w:cs="Arial"/>
                <w:sz w:val="18"/>
                <w:szCs w:val="18"/>
              </w:rPr>
              <w:t>,</w:t>
            </w:r>
            <w:r>
              <w:rPr>
                <w:rFonts w:ascii="Arial" w:hAnsi="Arial" w:cs="Arial"/>
                <w:sz w:val="18"/>
                <w:szCs w:val="18"/>
              </w:rPr>
              <w:t>9)</w:t>
            </w:r>
          </w:p>
        </w:tc>
        <w:tc>
          <w:tcPr>
            <w:tcW w:w="1861" w:type="dxa"/>
            <w:shd w:val="clear" w:color="auto" w:fill="FFFFFF" w:themeFill="background1"/>
            <w:vAlign w:val="center"/>
          </w:tcPr>
          <w:p w14:paraId="0C1FCB31" w14:textId="1E8F188D"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w:t>
            </w:r>
            <w:r w:rsidR="00454299">
              <w:rPr>
                <w:rFonts w:ascii="Arial" w:hAnsi="Arial" w:cs="Arial"/>
                <w:sz w:val="18"/>
                <w:szCs w:val="18"/>
              </w:rPr>
              <w:t>,</w:t>
            </w:r>
            <w:r>
              <w:rPr>
                <w:rFonts w:ascii="Arial" w:hAnsi="Arial" w:cs="Arial"/>
                <w:sz w:val="18"/>
                <w:szCs w:val="18"/>
              </w:rPr>
              <w:t>8)</w:t>
            </w:r>
          </w:p>
        </w:tc>
        <w:tc>
          <w:tcPr>
            <w:tcW w:w="2166" w:type="dxa"/>
            <w:shd w:val="clear" w:color="auto" w:fill="FFFFFF" w:themeFill="background1"/>
            <w:vAlign w:val="center"/>
          </w:tcPr>
          <w:p w14:paraId="3AC2C495" w14:textId="0AC4351F"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5%</w:t>
            </w:r>
          </w:p>
        </w:tc>
      </w:tr>
      <w:tr w:rsidR="002C65B4" w:rsidRPr="00CA6E28" w14:paraId="3C782EAA" w14:textId="77777777" w:rsidTr="007077AF">
        <w:trPr>
          <w:trHeight w:val="256"/>
        </w:trPr>
        <w:tc>
          <w:tcPr>
            <w:tcW w:w="4930" w:type="dxa"/>
            <w:tcBorders>
              <w:right w:val="single" w:sz="2" w:space="0" w:color="808080" w:themeColor="background1" w:themeShade="80"/>
            </w:tcBorders>
            <w:shd w:val="clear" w:color="auto" w:fill="FFFFFF" w:themeFill="background1"/>
            <w:vAlign w:val="center"/>
          </w:tcPr>
          <w:p w14:paraId="4AB01215" w14:textId="1B9543B6"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Αποδοχές προσωπικού</w:t>
            </w:r>
          </w:p>
        </w:tc>
        <w:tc>
          <w:tcPr>
            <w:tcW w:w="1274" w:type="dxa"/>
            <w:tcBorders>
              <w:left w:val="single" w:sz="2" w:space="0" w:color="808080" w:themeColor="background1" w:themeShade="80"/>
            </w:tcBorders>
            <w:shd w:val="clear" w:color="auto" w:fill="FFFFFF" w:themeFill="background1"/>
            <w:vAlign w:val="center"/>
          </w:tcPr>
          <w:p w14:paraId="4DEC6D71" w14:textId="5C7E474C"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(95</w:t>
            </w:r>
            <w:r w:rsidR="00454299">
              <w:rPr>
                <w:rFonts w:ascii="Arial" w:hAnsi="Arial" w:cs="Arial"/>
                <w:sz w:val="18"/>
                <w:szCs w:val="18"/>
              </w:rPr>
              <w:t>,</w:t>
            </w:r>
            <w:r>
              <w:rPr>
                <w:rFonts w:ascii="Arial" w:hAnsi="Arial" w:cs="Arial"/>
                <w:sz w:val="18"/>
                <w:szCs w:val="18"/>
              </w:rPr>
              <w:t>2)</w:t>
            </w:r>
          </w:p>
        </w:tc>
        <w:tc>
          <w:tcPr>
            <w:tcW w:w="1861" w:type="dxa"/>
            <w:shd w:val="clear" w:color="auto" w:fill="FFFFFF" w:themeFill="background1"/>
            <w:vAlign w:val="center"/>
          </w:tcPr>
          <w:p w14:paraId="022F5814" w14:textId="61EF0E64"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(96</w:t>
            </w:r>
            <w:r w:rsidR="00454299">
              <w:rPr>
                <w:rFonts w:ascii="Arial" w:hAnsi="Arial" w:cs="Arial"/>
                <w:sz w:val="18"/>
                <w:szCs w:val="18"/>
              </w:rPr>
              <w:t>,</w:t>
            </w:r>
            <w:r>
              <w:rPr>
                <w:rFonts w:ascii="Arial" w:hAnsi="Arial" w:cs="Arial"/>
                <w:sz w:val="18"/>
                <w:szCs w:val="18"/>
              </w:rPr>
              <w:t>9)</w:t>
            </w:r>
          </w:p>
        </w:tc>
        <w:tc>
          <w:tcPr>
            <w:tcW w:w="2166" w:type="dxa"/>
            <w:shd w:val="clear" w:color="auto" w:fill="FFFFFF" w:themeFill="background1"/>
            <w:vAlign w:val="center"/>
          </w:tcPr>
          <w:p w14:paraId="6D52AA70" w14:textId="6D20DB14"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8%</w:t>
            </w:r>
          </w:p>
        </w:tc>
      </w:tr>
      <w:tr w:rsidR="002C65B4" w:rsidRPr="00CA6E28" w14:paraId="5A117D2E" w14:textId="77777777" w:rsidTr="007077AF">
        <w:trPr>
          <w:trHeight w:val="267"/>
        </w:trPr>
        <w:tc>
          <w:tcPr>
            <w:tcW w:w="4930" w:type="dxa"/>
            <w:tcBorders>
              <w:right w:val="single" w:sz="2" w:space="0" w:color="808080" w:themeColor="background1" w:themeShade="80"/>
            </w:tcBorders>
            <w:shd w:val="clear" w:color="auto" w:fill="FFFFFF" w:themeFill="background1"/>
            <w:vAlign w:val="center"/>
          </w:tcPr>
          <w:p w14:paraId="5D6D0F5E" w14:textId="4853534A" w:rsidR="00F800E8" w:rsidRPr="00CA6E28" w:rsidRDefault="00F800E8" w:rsidP="00F800E8">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Κόστη σχετιζόμενα με προγράμματα εθελουσίας αποχώρησης</w:t>
            </w:r>
          </w:p>
        </w:tc>
        <w:tc>
          <w:tcPr>
            <w:tcW w:w="1274" w:type="dxa"/>
            <w:tcBorders>
              <w:left w:val="single" w:sz="2" w:space="0" w:color="808080" w:themeColor="background1" w:themeShade="80"/>
            </w:tcBorders>
            <w:shd w:val="clear" w:color="auto" w:fill="FFFFFF" w:themeFill="background1"/>
            <w:vAlign w:val="center"/>
          </w:tcPr>
          <w:p w14:paraId="2D8631D6" w14:textId="24BF294B"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(19</w:t>
            </w:r>
            <w:r w:rsidR="00454299">
              <w:rPr>
                <w:rFonts w:ascii="Arial" w:hAnsi="Arial" w:cs="Arial"/>
                <w:sz w:val="18"/>
                <w:szCs w:val="18"/>
              </w:rPr>
              <w:t>,</w:t>
            </w:r>
            <w:r>
              <w:rPr>
                <w:rFonts w:ascii="Arial" w:hAnsi="Arial" w:cs="Arial"/>
                <w:sz w:val="18"/>
                <w:szCs w:val="18"/>
              </w:rPr>
              <w:t>2)</w:t>
            </w:r>
          </w:p>
        </w:tc>
        <w:tc>
          <w:tcPr>
            <w:tcW w:w="1861" w:type="dxa"/>
            <w:shd w:val="clear" w:color="auto" w:fill="FFFFFF" w:themeFill="background1"/>
            <w:vAlign w:val="center"/>
          </w:tcPr>
          <w:p w14:paraId="10329C7D" w14:textId="137AC483"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(12</w:t>
            </w:r>
            <w:r w:rsidR="00454299">
              <w:rPr>
                <w:rFonts w:ascii="Arial" w:hAnsi="Arial" w:cs="Arial"/>
                <w:sz w:val="18"/>
                <w:szCs w:val="18"/>
              </w:rPr>
              <w:t>,</w:t>
            </w:r>
            <w:r>
              <w:rPr>
                <w:rFonts w:ascii="Arial" w:hAnsi="Arial" w:cs="Arial"/>
                <w:sz w:val="18"/>
                <w:szCs w:val="18"/>
              </w:rPr>
              <w:t>8)</w:t>
            </w:r>
          </w:p>
        </w:tc>
        <w:tc>
          <w:tcPr>
            <w:tcW w:w="2166" w:type="dxa"/>
            <w:shd w:val="clear" w:color="auto" w:fill="FFFFFF" w:themeFill="background1"/>
            <w:vAlign w:val="center"/>
          </w:tcPr>
          <w:p w14:paraId="00AA0E4D" w14:textId="6BBDCBC5"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+50</w:t>
            </w:r>
            <w:r w:rsidR="00454299">
              <w:rPr>
                <w:rFonts w:ascii="Arial" w:hAnsi="Arial" w:cs="Arial"/>
                <w:sz w:val="18"/>
                <w:szCs w:val="18"/>
              </w:rPr>
              <w:t>,</w:t>
            </w:r>
            <w:r>
              <w:rPr>
                <w:rFonts w:ascii="Arial" w:hAnsi="Arial" w:cs="Arial"/>
                <w:sz w:val="18"/>
                <w:szCs w:val="18"/>
              </w:rPr>
              <w:t>0%</w:t>
            </w:r>
          </w:p>
        </w:tc>
      </w:tr>
      <w:tr w:rsidR="002C65B4" w:rsidRPr="00CA6E28" w14:paraId="5D1D576A" w14:textId="77777777" w:rsidTr="007077AF">
        <w:trPr>
          <w:trHeight w:val="256"/>
        </w:trPr>
        <w:tc>
          <w:tcPr>
            <w:tcW w:w="4930" w:type="dxa"/>
            <w:tcBorders>
              <w:right w:val="single" w:sz="2" w:space="0" w:color="808080" w:themeColor="background1" w:themeShade="80"/>
            </w:tcBorders>
            <w:shd w:val="clear" w:color="auto" w:fill="FFFFFF" w:themeFill="background1"/>
            <w:vAlign w:val="center"/>
          </w:tcPr>
          <w:p w14:paraId="5FAD9EB5" w14:textId="3FAF243C"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εμπορικών προμηθειών</w:t>
            </w:r>
          </w:p>
        </w:tc>
        <w:tc>
          <w:tcPr>
            <w:tcW w:w="1274" w:type="dxa"/>
            <w:tcBorders>
              <w:left w:val="single" w:sz="2" w:space="0" w:color="808080" w:themeColor="background1" w:themeShade="80"/>
            </w:tcBorders>
            <w:shd w:val="clear" w:color="auto" w:fill="FFFFFF" w:themeFill="background1"/>
            <w:vAlign w:val="center"/>
          </w:tcPr>
          <w:p w14:paraId="42DC8586" w14:textId="71CB92F0"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(20</w:t>
            </w:r>
            <w:r w:rsidR="00454299">
              <w:rPr>
                <w:rFonts w:ascii="Arial" w:hAnsi="Arial" w:cs="Arial"/>
                <w:sz w:val="18"/>
                <w:szCs w:val="18"/>
              </w:rPr>
              <w:t>,</w:t>
            </w:r>
            <w:r>
              <w:rPr>
                <w:rFonts w:ascii="Arial" w:hAnsi="Arial" w:cs="Arial"/>
                <w:sz w:val="18"/>
                <w:szCs w:val="18"/>
              </w:rPr>
              <w:t>2)</w:t>
            </w:r>
          </w:p>
        </w:tc>
        <w:tc>
          <w:tcPr>
            <w:tcW w:w="1861" w:type="dxa"/>
            <w:shd w:val="clear" w:color="auto" w:fill="FFFFFF" w:themeFill="background1"/>
            <w:vAlign w:val="center"/>
          </w:tcPr>
          <w:p w14:paraId="20FB4C1C" w14:textId="52012D25"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(18</w:t>
            </w:r>
            <w:r w:rsidR="00454299">
              <w:rPr>
                <w:rFonts w:ascii="Arial" w:hAnsi="Arial" w:cs="Arial"/>
                <w:sz w:val="18"/>
                <w:szCs w:val="18"/>
              </w:rPr>
              <w:t>,</w:t>
            </w:r>
            <w:r>
              <w:rPr>
                <w:rFonts w:ascii="Arial" w:hAnsi="Arial" w:cs="Arial"/>
                <w:sz w:val="18"/>
                <w:szCs w:val="18"/>
              </w:rPr>
              <w:t>7)</w:t>
            </w:r>
          </w:p>
        </w:tc>
        <w:tc>
          <w:tcPr>
            <w:tcW w:w="2166" w:type="dxa"/>
            <w:shd w:val="clear" w:color="auto" w:fill="FFFFFF" w:themeFill="background1"/>
            <w:vAlign w:val="center"/>
          </w:tcPr>
          <w:p w14:paraId="63A38D42" w14:textId="7F45C932"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+8</w:t>
            </w:r>
            <w:r w:rsidR="00454299">
              <w:rPr>
                <w:rFonts w:ascii="Arial" w:hAnsi="Arial" w:cs="Arial"/>
                <w:sz w:val="18"/>
                <w:szCs w:val="18"/>
              </w:rPr>
              <w:t>,</w:t>
            </w:r>
            <w:r>
              <w:rPr>
                <w:rFonts w:ascii="Arial" w:hAnsi="Arial" w:cs="Arial"/>
                <w:sz w:val="18"/>
                <w:szCs w:val="18"/>
              </w:rPr>
              <w:t>0%</w:t>
            </w:r>
          </w:p>
        </w:tc>
      </w:tr>
      <w:tr w:rsidR="002C65B4" w:rsidRPr="00CA6E28" w14:paraId="6B2CF75F" w14:textId="77777777" w:rsidTr="007077AF">
        <w:trPr>
          <w:trHeight w:val="267"/>
        </w:trPr>
        <w:tc>
          <w:tcPr>
            <w:tcW w:w="4930" w:type="dxa"/>
            <w:tcBorders>
              <w:right w:val="single" w:sz="2" w:space="0" w:color="808080" w:themeColor="background1" w:themeShade="80"/>
            </w:tcBorders>
            <w:shd w:val="clear" w:color="auto" w:fill="FFFFFF" w:themeFill="background1"/>
            <w:vAlign w:val="center"/>
          </w:tcPr>
          <w:p w14:paraId="7B9FE68B" w14:textId="3D0DF048"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Κόστος εμπορευμάτων</w:t>
            </w:r>
          </w:p>
        </w:tc>
        <w:tc>
          <w:tcPr>
            <w:tcW w:w="1274" w:type="dxa"/>
            <w:tcBorders>
              <w:left w:val="single" w:sz="2" w:space="0" w:color="808080" w:themeColor="background1" w:themeShade="80"/>
            </w:tcBorders>
            <w:shd w:val="clear" w:color="auto" w:fill="FFFFFF" w:themeFill="background1"/>
            <w:vAlign w:val="center"/>
          </w:tcPr>
          <w:p w14:paraId="68EFE965" w14:textId="67145772"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(67</w:t>
            </w:r>
            <w:r w:rsidR="00454299">
              <w:rPr>
                <w:rFonts w:ascii="Arial" w:hAnsi="Arial" w:cs="Arial"/>
                <w:sz w:val="18"/>
                <w:szCs w:val="18"/>
              </w:rPr>
              <w:t>,</w:t>
            </w:r>
            <w:r>
              <w:rPr>
                <w:rFonts w:ascii="Arial" w:hAnsi="Arial" w:cs="Arial"/>
                <w:sz w:val="18"/>
                <w:szCs w:val="18"/>
              </w:rPr>
              <w:t>9)</w:t>
            </w:r>
          </w:p>
        </w:tc>
        <w:tc>
          <w:tcPr>
            <w:tcW w:w="1861" w:type="dxa"/>
            <w:shd w:val="clear" w:color="auto" w:fill="FFFFFF" w:themeFill="background1"/>
            <w:vAlign w:val="center"/>
          </w:tcPr>
          <w:p w14:paraId="56D9BD1A" w14:textId="479D17FE"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(61</w:t>
            </w:r>
            <w:r w:rsidR="00454299">
              <w:rPr>
                <w:rFonts w:ascii="Arial" w:hAnsi="Arial" w:cs="Arial"/>
                <w:sz w:val="18"/>
                <w:szCs w:val="18"/>
              </w:rPr>
              <w:t>,</w:t>
            </w:r>
            <w:r>
              <w:rPr>
                <w:rFonts w:ascii="Arial" w:hAnsi="Arial" w:cs="Arial"/>
                <w:sz w:val="18"/>
                <w:szCs w:val="18"/>
              </w:rPr>
              <w:t>1)</w:t>
            </w:r>
          </w:p>
        </w:tc>
        <w:tc>
          <w:tcPr>
            <w:tcW w:w="2166" w:type="dxa"/>
            <w:shd w:val="clear" w:color="auto" w:fill="FFFFFF" w:themeFill="background1"/>
            <w:vAlign w:val="center"/>
          </w:tcPr>
          <w:p w14:paraId="7A38807C" w14:textId="6AEB80B1"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+11</w:t>
            </w:r>
            <w:r w:rsidR="00454299">
              <w:rPr>
                <w:rFonts w:ascii="Arial" w:hAnsi="Arial" w:cs="Arial"/>
                <w:sz w:val="18"/>
                <w:szCs w:val="18"/>
              </w:rPr>
              <w:t>,</w:t>
            </w:r>
            <w:r>
              <w:rPr>
                <w:rFonts w:ascii="Arial" w:hAnsi="Arial" w:cs="Arial"/>
                <w:sz w:val="18"/>
                <w:szCs w:val="18"/>
              </w:rPr>
              <w:t>1%</w:t>
            </w:r>
          </w:p>
        </w:tc>
      </w:tr>
      <w:tr w:rsidR="002C65B4" w:rsidRPr="00CA6E28" w14:paraId="08FCB0B8" w14:textId="77777777" w:rsidTr="007077AF">
        <w:trPr>
          <w:trHeight w:val="256"/>
        </w:trPr>
        <w:tc>
          <w:tcPr>
            <w:tcW w:w="4930" w:type="dxa"/>
            <w:tcBorders>
              <w:right w:val="single" w:sz="2" w:space="0" w:color="808080" w:themeColor="background1" w:themeShade="80"/>
            </w:tcBorders>
            <w:shd w:val="clear" w:color="auto" w:fill="FFFFFF" w:themeFill="background1"/>
            <w:vAlign w:val="center"/>
          </w:tcPr>
          <w:p w14:paraId="57EF91D8" w14:textId="5AC7D5DE"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συντήρησης και επισκευών</w:t>
            </w:r>
          </w:p>
        </w:tc>
        <w:tc>
          <w:tcPr>
            <w:tcW w:w="1274" w:type="dxa"/>
            <w:tcBorders>
              <w:left w:val="single" w:sz="2" w:space="0" w:color="808080" w:themeColor="background1" w:themeShade="80"/>
            </w:tcBorders>
            <w:shd w:val="clear" w:color="auto" w:fill="FFFFFF" w:themeFill="background1"/>
            <w:vAlign w:val="center"/>
          </w:tcPr>
          <w:p w14:paraId="1BCCD0C9" w14:textId="269956AE"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w:t>
            </w:r>
            <w:r w:rsidR="00454299">
              <w:rPr>
                <w:rFonts w:ascii="Arial" w:hAnsi="Arial" w:cs="Arial"/>
                <w:sz w:val="18"/>
                <w:szCs w:val="18"/>
              </w:rPr>
              <w:t>,</w:t>
            </w:r>
            <w:r>
              <w:rPr>
                <w:rFonts w:ascii="Arial" w:hAnsi="Arial" w:cs="Arial"/>
                <w:sz w:val="18"/>
                <w:szCs w:val="18"/>
              </w:rPr>
              <w:t>8)</w:t>
            </w:r>
          </w:p>
        </w:tc>
        <w:tc>
          <w:tcPr>
            <w:tcW w:w="1861" w:type="dxa"/>
            <w:shd w:val="clear" w:color="auto" w:fill="FFFFFF" w:themeFill="background1"/>
            <w:vAlign w:val="center"/>
          </w:tcPr>
          <w:p w14:paraId="1B727335" w14:textId="6B9F8AC4"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(20</w:t>
            </w:r>
            <w:r w:rsidR="00454299">
              <w:rPr>
                <w:rFonts w:ascii="Arial" w:hAnsi="Arial" w:cs="Arial"/>
                <w:sz w:val="18"/>
                <w:szCs w:val="18"/>
              </w:rPr>
              <w:t>,</w:t>
            </w:r>
            <w:r>
              <w:rPr>
                <w:rFonts w:ascii="Arial" w:hAnsi="Arial" w:cs="Arial"/>
                <w:sz w:val="18"/>
                <w:szCs w:val="18"/>
              </w:rPr>
              <w:t>8)</w:t>
            </w:r>
          </w:p>
        </w:tc>
        <w:tc>
          <w:tcPr>
            <w:tcW w:w="2166" w:type="dxa"/>
            <w:shd w:val="clear" w:color="auto" w:fill="FFFFFF" w:themeFill="background1"/>
            <w:vAlign w:val="center"/>
          </w:tcPr>
          <w:p w14:paraId="10BA76F9" w14:textId="7DA45F4B"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w:t>
            </w:r>
            <w:r w:rsidR="00454299">
              <w:rPr>
                <w:rFonts w:ascii="Arial" w:hAnsi="Arial" w:cs="Arial"/>
                <w:sz w:val="18"/>
                <w:szCs w:val="18"/>
              </w:rPr>
              <w:t>,</w:t>
            </w:r>
            <w:r>
              <w:rPr>
                <w:rFonts w:ascii="Arial" w:hAnsi="Arial" w:cs="Arial"/>
                <w:sz w:val="18"/>
                <w:szCs w:val="18"/>
              </w:rPr>
              <w:t>6%</w:t>
            </w:r>
          </w:p>
        </w:tc>
      </w:tr>
      <w:tr w:rsidR="002C65B4" w:rsidRPr="00CA6E28" w14:paraId="319FEE4A" w14:textId="77777777" w:rsidTr="007077AF">
        <w:trPr>
          <w:trHeight w:val="267"/>
        </w:trPr>
        <w:tc>
          <w:tcPr>
            <w:tcW w:w="4930" w:type="dxa"/>
            <w:tcBorders>
              <w:right w:val="single" w:sz="2" w:space="0" w:color="808080" w:themeColor="background1" w:themeShade="80"/>
            </w:tcBorders>
            <w:shd w:val="clear" w:color="auto" w:fill="FFFFFF" w:themeFill="background1"/>
            <w:vAlign w:val="center"/>
          </w:tcPr>
          <w:p w14:paraId="47F680C7" w14:textId="3F648C13"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Έξοδα προώθησης</w:t>
            </w:r>
          </w:p>
        </w:tc>
        <w:tc>
          <w:tcPr>
            <w:tcW w:w="1274" w:type="dxa"/>
            <w:tcBorders>
              <w:left w:val="single" w:sz="2" w:space="0" w:color="808080" w:themeColor="background1" w:themeShade="80"/>
            </w:tcBorders>
            <w:shd w:val="clear" w:color="auto" w:fill="FFFFFF" w:themeFill="background1"/>
            <w:vAlign w:val="center"/>
          </w:tcPr>
          <w:p w14:paraId="5FDF14AD" w14:textId="6C657685"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(21</w:t>
            </w:r>
            <w:r w:rsidR="00454299">
              <w:rPr>
                <w:rFonts w:ascii="Arial" w:hAnsi="Arial" w:cs="Arial"/>
                <w:sz w:val="18"/>
                <w:szCs w:val="18"/>
              </w:rPr>
              <w:t>,</w:t>
            </w:r>
            <w:r>
              <w:rPr>
                <w:rFonts w:ascii="Arial" w:hAnsi="Arial" w:cs="Arial"/>
                <w:sz w:val="18"/>
                <w:szCs w:val="18"/>
              </w:rPr>
              <w:t>5)</w:t>
            </w:r>
          </w:p>
        </w:tc>
        <w:tc>
          <w:tcPr>
            <w:tcW w:w="1861" w:type="dxa"/>
            <w:shd w:val="clear" w:color="auto" w:fill="FFFFFF" w:themeFill="background1"/>
            <w:vAlign w:val="center"/>
          </w:tcPr>
          <w:p w14:paraId="0C290B37" w14:textId="65D70BC9"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(15</w:t>
            </w:r>
            <w:r w:rsidR="00454299">
              <w:rPr>
                <w:rFonts w:ascii="Arial" w:hAnsi="Arial" w:cs="Arial"/>
                <w:sz w:val="18"/>
                <w:szCs w:val="18"/>
              </w:rPr>
              <w:t>,</w:t>
            </w:r>
            <w:r>
              <w:rPr>
                <w:rFonts w:ascii="Arial" w:hAnsi="Arial" w:cs="Arial"/>
                <w:sz w:val="18"/>
                <w:szCs w:val="18"/>
              </w:rPr>
              <w:t>6)</w:t>
            </w:r>
          </w:p>
        </w:tc>
        <w:tc>
          <w:tcPr>
            <w:tcW w:w="2166" w:type="dxa"/>
            <w:shd w:val="clear" w:color="auto" w:fill="FFFFFF" w:themeFill="background1"/>
            <w:vAlign w:val="center"/>
          </w:tcPr>
          <w:p w14:paraId="1D9FF2B5" w14:textId="4A930D72"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+37</w:t>
            </w:r>
            <w:r w:rsidR="00454299">
              <w:rPr>
                <w:rFonts w:ascii="Arial" w:hAnsi="Arial" w:cs="Arial"/>
                <w:sz w:val="18"/>
                <w:szCs w:val="18"/>
              </w:rPr>
              <w:t>,</w:t>
            </w:r>
            <w:r>
              <w:rPr>
                <w:rFonts w:ascii="Arial" w:hAnsi="Arial" w:cs="Arial"/>
                <w:sz w:val="18"/>
                <w:szCs w:val="18"/>
              </w:rPr>
              <w:t>8%</w:t>
            </w:r>
          </w:p>
        </w:tc>
      </w:tr>
      <w:tr w:rsidR="002C65B4" w:rsidRPr="00CA6E28" w14:paraId="63433A30" w14:textId="77777777" w:rsidTr="007077AF">
        <w:trPr>
          <w:trHeight w:val="256"/>
        </w:trPr>
        <w:tc>
          <w:tcPr>
            <w:tcW w:w="4930" w:type="dxa"/>
            <w:tcBorders>
              <w:right w:val="single" w:sz="2" w:space="0" w:color="808080" w:themeColor="background1" w:themeShade="80"/>
            </w:tcBorders>
            <w:shd w:val="clear" w:color="auto" w:fill="FFFFFF" w:themeFill="background1"/>
            <w:vAlign w:val="center"/>
          </w:tcPr>
          <w:p w14:paraId="005425E4" w14:textId="0F5E9A5C"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Λοιπά λειτουργικά έξοδα</w:t>
            </w:r>
          </w:p>
        </w:tc>
        <w:tc>
          <w:tcPr>
            <w:tcW w:w="1274" w:type="dxa"/>
            <w:tcBorders>
              <w:left w:val="single" w:sz="2" w:space="0" w:color="808080" w:themeColor="background1" w:themeShade="80"/>
            </w:tcBorders>
            <w:shd w:val="clear" w:color="auto" w:fill="FFFFFF" w:themeFill="background1"/>
            <w:vAlign w:val="center"/>
          </w:tcPr>
          <w:p w14:paraId="190AF82E" w14:textId="361D0731"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(227</w:t>
            </w:r>
            <w:r w:rsidR="00454299">
              <w:rPr>
                <w:rFonts w:ascii="Arial" w:hAnsi="Arial" w:cs="Arial"/>
                <w:sz w:val="18"/>
                <w:szCs w:val="18"/>
              </w:rPr>
              <w:t>,</w:t>
            </w:r>
            <w:r>
              <w:rPr>
                <w:rFonts w:ascii="Arial" w:hAnsi="Arial" w:cs="Arial"/>
                <w:sz w:val="18"/>
                <w:szCs w:val="18"/>
              </w:rPr>
              <w:t>6)</w:t>
            </w:r>
          </w:p>
        </w:tc>
        <w:tc>
          <w:tcPr>
            <w:tcW w:w="1861" w:type="dxa"/>
            <w:shd w:val="clear" w:color="auto" w:fill="FFFFFF" w:themeFill="background1"/>
            <w:vAlign w:val="center"/>
          </w:tcPr>
          <w:p w14:paraId="54DFAF96" w14:textId="15DEC3EF"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(156</w:t>
            </w:r>
            <w:r w:rsidR="00454299">
              <w:rPr>
                <w:rFonts w:ascii="Arial" w:hAnsi="Arial" w:cs="Arial"/>
                <w:sz w:val="18"/>
                <w:szCs w:val="18"/>
              </w:rPr>
              <w:t>,</w:t>
            </w:r>
            <w:r>
              <w:rPr>
                <w:rFonts w:ascii="Arial" w:hAnsi="Arial" w:cs="Arial"/>
                <w:sz w:val="18"/>
                <w:szCs w:val="18"/>
              </w:rPr>
              <w:t>7)</w:t>
            </w:r>
          </w:p>
        </w:tc>
        <w:tc>
          <w:tcPr>
            <w:tcW w:w="2166" w:type="dxa"/>
            <w:shd w:val="clear" w:color="auto" w:fill="FFFFFF" w:themeFill="background1"/>
            <w:vAlign w:val="center"/>
          </w:tcPr>
          <w:p w14:paraId="245FF425" w14:textId="4DBE4FB0"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+45</w:t>
            </w:r>
            <w:r w:rsidR="00454299">
              <w:rPr>
                <w:rFonts w:ascii="Arial" w:hAnsi="Arial" w:cs="Arial"/>
                <w:sz w:val="18"/>
                <w:szCs w:val="18"/>
              </w:rPr>
              <w:t>,</w:t>
            </w:r>
            <w:r>
              <w:rPr>
                <w:rFonts w:ascii="Arial" w:hAnsi="Arial" w:cs="Arial"/>
                <w:sz w:val="18"/>
                <w:szCs w:val="18"/>
              </w:rPr>
              <w:t>2%</w:t>
            </w:r>
          </w:p>
        </w:tc>
      </w:tr>
      <w:tr w:rsidR="00785528" w:rsidRPr="00CA6E28" w14:paraId="6687824E" w14:textId="77777777" w:rsidTr="007077AF">
        <w:trPr>
          <w:trHeight w:val="531"/>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5A0335" w14:textId="757409C9" w:rsidR="00F800E8" w:rsidRPr="00CA6E28" w:rsidRDefault="00F800E8" w:rsidP="00F800E8">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Σύνολο λειτουργικών εξόδων πριν από αποσβέσεις και απομειώσεις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31E115C" w14:textId="47A4F432"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b/>
                <w:sz w:val="18"/>
                <w:szCs w:val="18"/>
              </w:rPr>
              <w:t>(</w:t>
            </w:r>
            <w:r>
              <w:rPr>
                <w:rFonts w:ascii="Arial" w:hAnsi="Arial" w:cs="Arial"/>
                <w:b/>
                <w:bCs/>
                <w:sz w:val="18"/>
                <w:szCs w:val="18"/>
              </w:rPr>
              <w:t>528</w:t>
            </w:r>
            <w:r w:rsidR="00454299">
              <w:rPr>
                <w:rFonts w:ascii="Arial" w:hAnsi="Arial" w:cs="Arial"/>
                <w:b/>
                <w:bCs/>
                <w:sz w:val="18"/>
                <w:szCs w:val="18"/>
              </w:rPr>
              <w:t>,</w:t>
            </w:r>
            <w:r>
              <w:rPr>
                <w:rFonts w:ascii="Arial" w:hAnsi="Arial" w:cs="Arial"/>
                <w:b/>
                <w:bCs/>
                <w:sz w:val="18"/>
                <w:szCs w:val="18"/>
              </w:rPr>
              <w:t>7</w:t>
            </w:r>
            <w:r>
              <w:rPr>
                <w:rFonts w:ascii="Arial" w:hAnsi="Arial" w:cs="Arial"/>
                <w:b/>
                <w:sz w:val="18"/>
                <w:szCs w:val="18"/>
              </w:rPr>
              <w:t>)</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38CDA74" w14:textId="0C61D5F1"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b/>
                <w:sz w:val="18"/>
                <w:szCs w:val="18"/>
              </w:rPr>
              <w:t>(</w:t>
            </w:r>
            <w:r>
              <w:rPr>
                <w:rFonts w:ascii="Arial" w:hAnsi="Arial" w:cs="Arial"/>
                <w:b/>
                <w:bCs/>
                <w:sz w:val="18"/>
                <w:szCs w:val="18"/>
              </w:rPr>
              <w:t>489</w:t>
            </w:r>
            <w:r w:rsidR="00454299">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DA55A6D" w14:textId="1A7C15B9" w:rsidR="00F800E8" w:rsidRPr="00CA6E28" w:rsidRDefault="00F800E8" w:rsidP="00F800E8">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b/>
                <w:sz w:val="18"/>
                <w:szCs w:val="18"/>
              </w:rPr>
              <w:t>+</w:t>
            </w:r>
            <w:r>
              <w:rPr>
                <w:rFonts w:ascii="Arial" w:hAnsi="Arial" w:cs="Arial"/>
                <w:b/>
                <w:bCs/>
                <w:sz w:val="18"/>
                <w:szCs w:val="18"/>
              </w:rPr>
              <w:t>7</w:t>
            </w:r>
            <w:r w:rsidR="00454299">
              <w:rPr>
                <w:rFonts w:ascii="Arial" w:hAnsi="Arial" w:cs="Arial"/>
                <w:b/>
                <w:bCs/>
                <w:sz w:val="18"/>
                <w:szCs w:val="18"/>
              </w:rPr>
              <w:t>,</w:t>
            </w:r>
            <w:r>
              <w:rPr>
                <w:rFonts w:ascii="Arial" w:hAnsi="Arial" w:cs="Arial"/>
                <w:b/>
                <w:bCs/>
                <w:sz w:val="18"/>
                <w:szCs w:val="18"/>
              </w:rPr>
              <w:t>9</w:t>
            </w:r>
            <w:r>
              <w:rPr>
                <w:rFonts w:ascii="Arial" w:hAnsi="Arial" w:cs="Arial"/>
                <w:b/>
                <w:sz w:val="18"/>
                <w:szCs w:val="18"/>
              </w:rPr>
              <w:t>%</w:t>
            </w:r>
          </w:p>
        </w:tc>
      </w:tr>
      <w:tr w:rsidR="00785528" w:rsidRPr="00CA6E28" w14:paraId="41F8A0C8" w14:textId="77777777" w:rsidTr="007077AF">
        <w:trPr>
          <w:trHeight w:val="495"/>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8AE5824" w14:textId="5940B9D6" w:rsidR="00F800E8" w:rsidRPr="00CA6E28" w:rsidRDefault="00F800E8" w:rsidP="00F800E8">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Λειτουργικά κέρδη προ χρημ/κών και επενδυτικών δραστηριοτήτων, αποσβέσεων και απομειώσεων</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6DA94A8" w14:textId="0E667ABC" w:rsidR="00F800E8" w:rsidRPr="005933BA"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333</w:t>
            </w:r>
            <w:r w:rsidR="00454299">
              <w:rPr>
                <w:rFonts w:ascii="Arial" w:hAnsi="Arial" w:cs="Arial"/>
                <w:b/>
                <w:bCs/>
                <w:sz w:val="18"/>
                <w:szCs w:val="18"/>
              </w:rPr>
              <w:t>,</w:t>
            </w:r>
            <w:r>
              <w:rPr>
                <w:rFonts w:ascii="Arial" w:hAnsi="Arial" w:cs="Arial"/>
                <w:b/>
                <w:bCs/>
                <w:sz w:val="18"/>
                <w:szCs w:val="18"/>
              </w:rPr>
              <w:t>5</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A85CB79" w14:textId="098DC91C" w:rsidR="00F800E8" w:rsidRPr="005933BA"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330</w:t>
            </w:r>
            <w:r w:rsidR="00454299">
              <w:rPr>
                <w:rFonts w:ascii="Arial" w:hAnsi="Arial" w:cs="Arial"/>
                <w:b/>
                <w:bCs/>
                <w:sz w:val="18"/>
                <w:szCs w:val="18"/>
              </w:rPr>
              <w:t>,</w:t>
            </w:r>
            <w:r>
              <w:rPr>
                <w:rFonts w:ascii="Arial" w:hAnsi="Arial" w:cs="Arial"/>
                <w:b/>
                <w:bCs/>
                <w:sz w:val="18"/>
                <w:szCs w:val="18"/>
              </w:rPr>
              <w:t>3</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9DB9DA6" w14:textId="17F308FD" w:rsidR="00F800E8" w:rsidRPr="005933BA"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w:t>
            </w:r>
            <w:r w:rsidR="00454299">
              <w:rPr>
                <w:rFonts w:ascii="Arial" w:hAnsi="Arial" w:cs="Arial"/>
                <w:b/>
                <w:bCs/>
                <w:sz w:val="18"/>
                <w:szCs w:val="18"/>
              </w:rPr>
              <w:t>,</w:t>
            </w:r>
            <w:r>
              <w:rPr>
                <w:rFonts w:ascii="Arial" w:hAnsi="Arial" w:cs="Arial"/>
                <w:b/>
                <w:bCs/>
                <w:sz w:val="18"/>
                <w:szCs w:val="18"/>
              </w:rPr>
              <w:t>0%</w:t>
            </w:r>
          </w:p>
        </w:tc>
      </w:tr>
      <w:tr w:rsidR="00785528" w:rsidRPr="00CA6E28" w14:paraId="19708827" w14:textId="77777777" w:rsidTr="007077AF">
        <w:trPr>
          <w:trHeight w:val="222"/>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703B705" w14:textId="67A55F15" w:rsidR="00F800E8" w:rsidRPr="00CA6E28" w:rsidRDefault="00F800E8" w:rsidP="00F800E8">
            <w:pPr>
              <w:pStyle w:val="ColorfulList-Accent11"/>
              <w:tabs>
                <w:tab w:val="left" w:pos="0"/>
                <w:tab w:val="left" w:pos="284"/>
              </w:tabs>
              <w:ind w:left="0" w:right="-90"/>
              <w:rPr>
                <w:rFonts w:ascii="Arial" w:hAnsi="Arial" w:cs="Arial"/>
                <w:b/>
                <w:sz w:val="18"/>
                <w:szCs w:val="18"/>
                <w:lang w:val="el-GR"/>
              </w:rPr>
            </w:pPr>
            <w:r w:rsidRPr="00CA6E28">
              <w:rPr>
                <w:rFonts w:ascii="Arial" w:hAnsi="Arial" w:cs="Arial"/>
                <w:sz w:val="18"/>
                <w:szCs w:val="18"/>
              </w:rPr>
              <w:t>Αποσβέσεις και απομειώσεις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4911E51" w14:textId="31B42214" w:rsidR="00F800E8" w:rsidRPr="00CA6E28"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(144</w:t>
            </w:r>
            <w:r w:rsidR="00454299">
              <w:rPr>
                <w:rFonts w:ascii="Arial" w:hAnsi="Arial" w:cs="Arial"/>
                <w:sz w:val="18"/>
                <w:szCs w:val="18"/>
              </w:rPr>
              <w:t>,</w:t>
            </w:r>
            <w:r>
              <w:rPr>
                <w:rFonts w:ascii="Arial" w:hAnsi="Arial" w:cs="Arial"/>
                <w:sz w:val="18"/>
                <w:szCs w:val="18"/>
              </w:rPr>
              <w:t>6)</w:t>
            </w:r>
          </w:p>
        </w:tc>
        <w:tc>
          <w:tcPr>
            <w:tcW w:w="186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E451204" w14:textId="2A974FBC" w:rsidR="00F800E8" w:rsidRPr="00CA6E28"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(142</w:t>
            </w:r>
            <w:r w:rsidR="00454299">
              <w:rPr>
                <w:rFonts w:ascii="Arial" w:hAnsi="Arial" w:cs="Arial"/>
                <w:sz w:val="18"/>
                <w:szCs w:val="18"/>
              </w:rPr>
              <w:t>,</w:t>
            </w:r>
            <w:r>
              <w:rPr>
                <w:rFonts w:ascii="Arial" w:hAnsi="Arial" w:cs="Arial"/>
                <w:sz w:val="18"/>
                <w:szCs w:val="18"/>
              </w:rPr>
              <w:t>3)</w:t>
            </w:r>
          </w:p>
        </w:tc>
        <w:tc>
          <w:tcPr>
            <w:tcW w:w="2166"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AD128C0" w14:textId="2329117D" w:rsidR="00F800E8" w:rsidRPr="00CA6E28" w:rsidRDefault="00F800E8" w:rsidP="00F800E8">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6%</w:t>
            </w:r>
          </w:p>
        </w:tc>
      </w:tr>
      <w:tr w:rsidR="00785528" w:rsidRPr="00CA6E28" w14:paraId="68041657"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43B187" w14:textId="1F86D6EB" w:rsidR="00F800E8" w:rsidRPr="00CA6E28" w:rsidRDefault="00F800E8" w:rsidP="00F800E8">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Λειτουργικά κέρδη προ </w:t>
            </w:r>
            <w:r>
              <w:rPr>
                <w:rFonts w:ascii="Arial" w:hAnsi="Arial" w:cs="Arial"/>
                <w:b/>
                <w:sz w:val="18"/>
                <w:szCs w:val="18"/>
                <w:lang w:val="el-GR"/>
              </w:rPr>
              <w:t>χρημ/κων</w:t>
            </w:r>
            <w:r w:rsidRPr="00CA6E28">
              <w:rPr>
                <w:rFonts w:ascii="Arial" w:hAnsi="Arial" w:cs="Arial"/>
                <w:b/>
                <w:sz w:val="18"/>
                <w:szCs w:val="18"/>
                <w:lang w:val="el-GR"/>
              </w:rPr>
              <w:t xml:space="preserve"> και επενδυτικών δραστηριοτήτων</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C873FA" w14:textId="3F485C24" w:rsidR="00F800E8" w:rsidRPr="00CA6E28" w:rsidRDefault="00F800E8" w:rsidP="00F800E8">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188</w:t>
            </w:r>
            <w:r w:rsidR="00454299">
              <w:rPr>
                <w:rFonts w:ascii="Arial" w:hAnsi="Arial" w:cs="Arial"/>
                <w:b/>
                <w:bCs/>
                <w:sz w:val="18"/>
                <w:szCs w:val="18"/>
              </w:rPr>
              <w:t>,</w:t>
            </w:r>
            <w:r>
              <w:rPr>
                <w:rFonts w:ascii="Arial" w:hAnsi="Arial" w:cs="Arial"/>
                <w:b/>
                <w:bCs/>
                <w:sz w:val="18"/>
                <w:szCs w:val="18"/>
              </w:rPr>
              <w:t>9</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160154" w14:textId="6564CF2E" w:rsidR="00F800E8" w:rsidRPr="00CA6E28" w:rsidRDefault="00F800E8" w:rsidP="00F800E8">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188</w:t>
            </w:r>
            <w:r w:rsidR="00454299">
              <w:rPr>
                <w:rFonts w:ascii="Arial" w:hAnsi="Arial" w:cs="Arial"/>
                <w:b/>
                <w:bCs/>
                <w:sz w:val="18"/>
                <w:szCs w:val="18"/>
              </w:rPr>
              <w:t>,</w:t>
            </w:r>
            <w:r>
              <w:rPr>
                <w:rFonts w:ascii="Arial" w:hAnsi="Arial" w:cs="Arial"/>
                <w:b/>
                <w:bCs/>
                <w:sz w:val="18"/>
                <w:szCs w:val="18"/>
              </w:rPr>
              <w:t>0</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3DE69C" w14:textId="5BEE23B3" w:rsidR="00F800E8" w:rsidRPr="00CA6E28" w:rsidRDefault="00F800E8" w:rsidP="00F800E8">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sz w:val="18"/>
                <w:szCs w:val="18"/>
              </w:rPr>
              <w:t>+0</w:t>
            </w:r>
            <w:r w:rsidR="00454299">
              <w:rPr>
                <w:rFonts w:ascii="Arial" w:hAnsi="Arial" w:cs="Arial"/>
                <w:b/>
                <w:bCs/>
                <w:sz w:val="18"/>
                <w:szCs w:val="18"/>
              </w:rPr>
              <w:t>,</w:t>
            </w:r>
            <w:r>
              <w:rPr>
                <w:rFonts w:ascii="Arial" w:hAnsi="Arial" w:cs="Arial"/>
                <w:b/>
                <w:bCs/>
                <w:sz w:val="18"/>
                <w:szCs w:val="18"/>
              </w:rPr>
              <w:t>5</w:t>
            </w:r>
            <w:r>
              <w:rPr>
                <w:rFonts w:ascii="Arial" w:hAnsi="Arial" w:cs="Arial"/>
                <w:b/>
                <w:sz w:val="18"/>
                <w:szCs w:val="18"/>
              </w:rPr>
              <w:t>%</w:t>
            </w:r>
          </w:p>
        </w:tc>
      </w:tr>
      <w:tr w:rsidR="00F800E8" w:rsidRPr="00CA6E28" w14:paraId="1F0551A9" w14:textId="77777777" w:rsidTr="007077AF">
        <w:trPr>
          <w:trHeight w:val="363"/>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D6AA75" w14:textId="33B3626D" w:rsidR="00F800E8" w:rsidRPr="00CA6E28" w:rsidRDefault="00F800E8" w:rsidP="00F800E8">
            <w:pPr>
              <w:pStyle w:val="ColorfulList-Accent11"/>
              <w:tabs>
                <w:tab w:val="left" w:pos="0"/>
                <w:tab w:val="left" w:pos="284"/>
              </w:tabs>
              <w:ind w:left="0" w:right="-90"/>
              <w:rPr>
                <w:rFonts w:ascii="Arial" w:hAnsi="Arial" w:cs="Arial"/>
                <w:b/>
                <w:sz w:val="18"/>
                <w:szCs w:val="18"/>
                <w:lang w:val="el-GR"/>
              </w:rPr>
            </w:pPr>
            <w:r w:rsidRPr="00CA6E28">
              <w:rPr>
                <w:rFonts w:ascii="Arial" w:hAnsi="Arial" w:cs="Arial"/>
                <w:b/>
                <w:sz w:val="18"/>
                <w:szCs w:val="18"/>
                <w:lang w:val="el-GR"/>
              </w:rPr>
              <w:t xml:space="preserve">Έσοδα και έξοδα από </w:t>
            </w:r>
            <w:r>
              <w:rPr>
                <w:rFonts w:ascii="Arial" w:hAnsi="Arial" w:cs="Arial"/>
                <w:b/>
                <w:sz w:val="18"/>
                <w:szCs w:val="18"/>
                <w:lang w:val="el-GR"/>
              </w:rPr>
              <w:t>χρημ/κες</w:t>
            </w:r>
            <w:r w:rsidRPr="00CA6E28">
              <w:rPr>
                <w:rFonts w:ascii="Arial" w:hAnsi="Arial" w:cs="Arial"/>
                <w:b/>
                <w:sz w:val="18"/>
                <w:szCs w:val="18"/>
                <w:lang w:val="el-GR"/>
              </w:rPr>
              <w:t xml:space="preserve"> και επενδυτικές δραστηριότητες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84DFA2F" w14:textId="1B251531"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lang w:val="el-GR"/>
              </w:rPr>
            </w:pPr>
          </w:p>
        </w:tc>
        <w:tc>
          <w:tcPr>
            <w:tcW w:w="1861" w:type="dxa"/>
            <w:tcBorders>
              <w:top w:val="single" w:sz="2" w:space="0" w:color="808080" w:themeColor="background1" w:themeShade="80"/>
              <w:bottom w:val="single" w:sz="2" w:space="0" w:color="808080" w:themeColor="background1" w:themeShade="80"/>
            </w:tcBorders>
            <w:vAlign w:val="center"/>
          </w:tcPr>
          <w:p w14:paraId="1283BE1C" w14:textId="4CCACCF1"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lang w:val="el-GR"/>
              </w:rPr>
            </w:pPr>
          </w:p>
        </w:tc>
        <w:tc>
          <w:tcPr>
            <w:tcW w:w="2166" w:type="dxa"/>
            <w:tcBorders>
              <w:top w:val="single" w:sz="2" w:space="0" w:color="808080" w:themeColor="background1" w:themeShade="80"/>
              <w:bottom w:val="single" w:sz="2" w:space="0" w:color="808080" w:themeColor="background1" w:themeShade="80"/>
            </w:tcBorders>
            <w:vAlign w:val="center"/>
          </w:tcPr>
          <w:p w14:paraId="6320F443" w14:textId="724B4609"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lang w:val="el-GR"/>
              </w:rPr>
            </w:pPr>
          </w:p>
        </w:tc>
      </w:tr>
      <w:tr w:rsidR="002C65B4" w:rsidRPr="00CA6E28" w14:paraId="229A1E86" w14:textId="77777777" w:rsidTr="007077AF">
        <w:trPr>
          <w:trHeight w:val="214"/>
        </w:trPr>
        <w:tc>
          <w:tcPr>
            <w:tcW w:w="4930" w:type="dxa"/>
            <w:tcBorders>
              <w:right w:val="single" w:sz="2" w:space="0" w:color="808080" w:themeColor="background1" w:themeShade="80"/>
            </w:tcBorders>
            <w:shd w:val="clear" w:color="auto" w:fill="FFFFFF" w:themeFill="background1"/>
            <w:vAlign w:val="center"/>
          </w:tcPr>
          <w:p w14:paraId="51FD7605" w14:textId="164FB0BE"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sz w:val="18"/>
                <w:szCs w:val="18"/>
                <w:lang w:val="el-GR"/>
              </w:rPr>
              <w:t>Χρηματοοικονομικά έσοδα και έξοδα</w:t>
            </w:r>
          </w:p>
        </w:tc>
        <w:tc>
          <w:tcPr>
            <w:tcW w:w="1274" w:type="dxa"/>
            <w:tcBorders>
              <w:left w:val="single" w:sz="2" w:space="0" w:color="808080" w:themeColor="background1" w:themeShade="80"/>
            </w:tcBorders>
            <w:shd w:val="clear" w:color="auto" w:fill="FFFFFF" w:themeFill="background1"/>
            <w:vAlign w:val="center"/>
          </w:tcPr>
          <w:p w14:paraId="57851986" w14:textId="7A37678E"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(5</w:t>
            </w:r>
            <w:r w:rsidR="00454299">
              <w:rPr>
                <w:rFonts w:ascii="Arial" w:hAnsi="Arial" w:cs="Arial"/>
                <w:sz w:val="18"/>
                <w:szCs w:val="18"/>
              </w:rPr>
              <w:t>,</w:t>
            </w:r>
            <w:r>
              <w:rPr>
                <w:rFonts w:ascii="Arial" w:hAnsi="Arial" w:cs="Arial"/>
                <w:sz w:val="18"/>
                <w:szCs w:val="18"/>
              </w:rPr>
              <w:t>6)</w:t>
            </w:r>
          </w:p>
        </w:tc>
        <w:tc>
          <w:tcPr>
            <w:tcW w:w="1861" w:type="dxa"/>
            <w:shd w:val="clear" w:color="auto" w:fill="FFFFFF" w:themeFill="background1"/>
            <w:vAlign w:val="center"/>
          </w:tcPr>
          <w:p w14:paraId="28310252" w14:textId="40861A38"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(2</w:t>
            </w:r>
            <w:r w:rsidR="00454299">
              <w:rPr>
                <w:rFonts w:ascii="Arial" w:hAnsi="Arial" w:cs="Arial"/>
                <w:sz w:val="18"/>
                <w:szCs w:val="18"/>
              </w:rPr>
              <w:t>,</w:t>
            </w:r>
            <w:r>
              <w:rPr>
                <w:rFonts w:ascii="Arial" w:hAnsi="Arial" w:cs="Arial"/>
                <w:sz w:val="18"/>
                <w:szCs w:val="18"/>
              </w:rPr>
              <w:t>1)</w:t>
            </w:r>
          </w:p>
        </w:tc>
        <w:tc>
          <w:tcPr>
            <w:tcW w:w="2166" w:type="dxa"/>
            <w:shd w:val="clear" w:color="auto" w:fill="FFFFFF" w:themeFill="background1"/>
            <w:vAlign w:val="center"/>
          </w:tcPr>
          <w:p w14:paraId="7B32D90E" w14:textId="298A2C1A"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+166</w:t>
            </w:r>
            <w:r w:rsidR="00454299">
              <w:rPr>
                <w:rFonts w:ascii="Arial" w:hAnsi="Arial" w:cs="Arial"/>
                <w:sz w:val="18"/>
                <w:szCs w:val="18"/>
              </w:rPr>
              <w:t>,</w:t>
            </w:r>
            <w:r>
              <w:rPr>
                <w:rFonts w:ascii="Arial" w:hAnsi="Arial" w:cs="Arial"/>
                <w:sz w:val="18"/>
                <w:szCs w:val="18"/>
              </w:rPr>
              <w:t>7%</w:t>
            </w:r>
          </w:p>
        </w:tc>
      </w:tr>
      <w:tr w:rsidR="002C65B4" w:rsidRPr="00CA6E28" w14:paraId="458D5576" w14:textId="77777777" w:rsidTr="007077AF">
        <w:trPr>
          <w:trHeight w:val="267"/>
        </w:trPr>
        <w:tc>
          <w:tcPr>
            <w:tcW w:w="4930" w:type="dxa"/>
            <w:tcBorders>
              <w:right w:val="single" w:sz="2" w:space="0" w:color="808080" w:themeColor="background1" w:themeShade="80"/>
            </w:tcBorders>
            <w:shd w:val="clear" w:color="auto" w:fill="FFFFFF" w:themeFill="background1"/>
            <w:vAlign w:val="center"/>
          </w:tcPr>
          <w:p w14:paraId="2E27429B" w14:textId="58A21289"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Συναλλαγματικές διαφορές,</w:t>
            </w:r>
            <w:r>
              <w:rPr>
                <w:rFonts w:ascii="Arial" w:hAnsi="Arial" w:cs="Arial"/>
                <w:sz w:val="18"/>
                <w:szCs w:val="18"/>
              </w:rPr>
              <w:t xml:space="preserve"> </w:t>
            </w:r>
            <w:r w:rsidRPr="00CA6E28">
              <w:rPr>
                <w:rFonts w:ascii="Arial" w:hAnsi="Arial" w:cs="Arial"/>
                <w:sz w:val="18"/>
                <w:szCs w:val="18"/>
                <w:lang w:val="el-GR"/>
              </w:rPr>
              <w:t>καθαρές</w:t>
            </w:r>
          </w:p>
        </w:tc>
        <w:tc>
          <w:tcPr>
            <w:tcW w:w="1274" w:type="dxa"/>
            <w:tcBorders>
              <w:left w:val="single" w:sz="2" w:space="0" w:color="808080" w:themeColor="background1" w:themeShade="80"/>
            </w:tcBorders>
            <w:shd w:val="clear" w:color="auto" w:fill="FFFFFF" w:themeFill="background1"/>
            <w:vAlign w:val="center"/>
          </w:tcPr>
          <w:p w14:paraId="2B318AEB" w14:textId="5D5AD567"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2)</w:t>
            </w:r>
          </w:p>
        </w:tc>
        <w:tc>
          <w:tcPr>
            <w:tcW w:w="1861" w:type="dxa"/>
            <w:shd w:val="clear" w:color="auto" w:fill="FFFFFF" w:themeFill="background1"/>
            <w:vAlign w:val="center"/>
          </w:tcPr>
          <w:p w14:paraId="26AB1936" w14:textId="6E273340"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1</w:t>
            </w:r>
          </w:p>
        </w:tc>
        <w:tc>
          <w:tcPr>
            <w:tcW w:w="2166" w:type="dxa"/>
            <w:shd w:val="clear" w:color="auto" w:fill="FFFFFF" w:themeFill="background1"/>
            <w:vAlign w:val="center"/>
          </w:tcPr>
          <w:p w14:paraId="0CF2FD2B" w14:textId="1BB73B27" w:rsidR="00F800E8" w:rsidRPr="00CA6E28" w:rsidRDefault="00F800E8" w:rsidP="00F800E8">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p>
        </w:tc>
      </w:tr>
      <w:tr w:rsidR="002C65B4" w:rsidRPr="00CA6E28" w14:paraId="7243C9CB" w14:textId="77777777" w:rsidTr="007077AF">
        <w:trPr>
          <w:trHeight w:val="256"/>
        </w:trPr>
        <w:tc>
          <w:tcPr>
            <w:tcW w:w="4930" w:type="dxa"/>
            <w:tcBorders>
              <w:right w:val="single" w:sz="2" w:space="0" w:color="808080" w:themeColor="background1" w:themeShade="80"/>
            </w:tcBorders>
            <w:shd w:val="clear" w:color="auto" w:fill="FFFFFF" w:themeFill="background1"/>
            <w:vAlign w:val="center"/>
          </w:tcPr>
          <w:p w14:paraId="0D33D1D9" w14:textId="7A6641C6" w:rsidR="00F800E8" w:rsidRPr="00CA6E28" w:rsidRDefault="00F800E8" w:rsidP="00F800E8">
            <w:pPr>
              <w:pStyle w:val="ColorfulList-Accent11"/>
              <w:tabs>
                <w:tab w:val="left" w:pos="0"/>
                <w:tab w:val="left" w:pos="284"/>
              </w:tabs>
              <w:ind w:left="0" w:right="-90"/>
              <w:rPr>
                <w:rFonts w:ascii="Arial" w:hAnsi="Arial" w:cs="Arial"/>
                <w:sz w:val="18"/>
                <w:szCs w:val="18"/>
                <w:lang w:val="el-GR"/>
              </w:rPr>
            </w:pPr>
            <w:r w:rsidRPr="00CA6E28">
              <w:rPr>
                <w:rFonts w:ascii="Arial" w:hAnsi="Arial" w:cs="Arial"/>
                <w:sz w:val="18"/>
                <w:szCs w:val="18"/>
                <w:lang w:val="el-GR"/>
              </w:rPr>
              <w:t>Κέρδη/(Ζημιές) από συμμετοχές και λοιπά χρημ</w:t>
            </w:r>
            <w:r>
              <w:rPr>
                <w:rFonts w:ascii="Arial" w:hAnsi="Arial" w:cs="Arial"/>
                <w:sz w:val="18"/>
                <w:szCs w:val="18"/>
                <w:lang w:val="el-GR"/>
              </w:rPr>
              <w:t>/κα</w:t>
            </w:r>
            <w:r w:rsidRPr="00CA6E28">
              <w:rPr>
                <w:rFonts w:ascii="Arial" w:hAnsi="Arial" w:cs="Arial"/>
                <w:sz w:val="18"/>
                <w:szCs w:val="18"/>
                <w:lang w:val="el-GR"/>
              </w:rPr>
              <w:t xml:space="preserve"> περιουσιακά στοιχεία - Απομειώσεις</w:t>
            </w:r>
          </w:p>
        </w:tc>
        <w:tc>
          <w:tcPr>
            <w:tcW w:w="1274" w:type="dxa"/>
            <w:tcBorders>
              <w:left w:val="single" w:sz="2" w:space="0" w:color="808080" w:themeColor="background1" w:themeShade="80"/>
            </w:tcBorders>
            <w:shd w:val="clear" w:color="auto" w:fill="FFFFFF" w:themeFill="background1"/>
            <w:vAlign w:val="center"/>
          </w:tcPr>
          <w:p w14:paraId="5D89A684" w14:textId="5F651877"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sz w:val="18"/>
                <w:szCs w:val="18"/>
              </w:rPr>
              <w:t>-</w:t>
            </w:r>
          </w:p>
        </w:tc>
        <w:tc>
          <w:tcPr>
            <w:tcW w:w="1861" w:type="dxa"/>
            <w:shd w:val="clear" w:color="auto" w:fill="FFFFFF" w:themeFill="background1"/>
            <w:vAlign w:val="center"/>
          </w:tcPr>
          <w:p w14:paraId="04C60D8B" w14:textId="4359D166"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3</w:t>
            </w:r>
          </w:p>
        </w:tc>
        <w:tc>
          <w:tcPr>
            <w:tcW w:w="2166" w:type="dxa"/>
            <w:shd w:val="clear" w:color="auto" w:fill="FFFFFF" w:themeFill="background1"/>
            <w:vAlign w:val="center"/>
          </w:tcPr>
          <w:p w14:paraId="3D023D13" w14:textId="76760604"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sz w:val="18"/>
                <w:szCs w:val="18"/>
              </w:rPr>
              <w:t>-</w:t>
            </w:r>
          </w:p>
        </w:tc>
      </w:tr>
      <w:tr w:rsidR="00785528" w:rsidRPr="00CA6E28" w14:paraId="782ABDA4" w14:textId="77777777" w:rsidTr="007077AF">
        <w:trPr>
          <w:trHeight w:val="531"/>
        </w:trPr>
        <w:tc>
          <w:tcPr>
            <w:tcW w:w="4930" w:type="dxa"/>
            <w:tcBorders>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02EE60E" w14:textId="0C8B58BC" w:rsidR="00F800E8" w:rsidRPr="00CA6E28" w:rsidRDefault="00F800E8" w:rsidP="00F800E8">
            <w:pPr>
              <w:pStyle w:val="ColorfulList-Accent11"/>
              <w:tabs>
                <w:tab w:val="left" w:pos="0"/>
                <w:tab w:val="left" w:pos="284"/>
              </w:tabs>
              <w:ind w:left="0" w:right="-90"/>
              <w:rPr>
                <w:rFonts w:ascii="Arial" w:hAnsi="Arial" w:cs="Arial"/>
                <w:sz w:val="18"/>
                <w:szCs w:val="18"/>
                <w:lang w:val="el-GR"/>
              </w:rPr>
            </w:pPr>
            <w:r w:rsidRPr="00CA6E28">
              <w:rPr>
                <w:rFonts w:ascii="Arial" w:hAnsi="Arial" w:cs="Arial"/>
                <w:b/>
                <w:sz w:val="18"/>
                <w:szCs w:val="18"/>
                <w:lang w:val="el-GR"/>
              </w:rPr>
              <w:t>Συνολικά κέρδη/(ζημιές) από χρημ</w:t>
            </w:r>
            <w:r>
              <w:rPr>
                <w:rFonts w:ascii="Arial" w:hAnsi="Arial" w:cs="Arial"/>
                <w:b/>
                <w:sz w:val="18"/>
                <w:szCs w:val="18"/>
                <w:lang w:val="el-GR"/>
              </w:rPr>
              <w:t>/κες</w:t>
            </w:r>
            <w:r w:rsidRPr="00CA6E28">
              <w:rPr>
                <w:rFonts w:ascii="Arial" w:hAnsi="Arial" w:cs="Arial"/>
                <w:b/>
                <w:sz w:val="18"/>
                <w:szCs w:val="18"/>
                <w:lang w:val="el-GR"/>
              </w:rPr>
              <w:t xml:space="preserve"> και επενδυτικές δραστηριότητες</w:t>
            </w:r>
          </w:p>
        </w:tc>
        <w:tc>
          <w:tcPr>
            <w:tcW w:w="1274" w:type="dxa"/>
            <w:tcBorders>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2FBA8AF" w14:textId="3F5CEBD9"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sz w:val="18"/>
                <w:szCs w:val="18"/>
              </w:rPr>
              <w:t>(5</w:t>
            </w:r>
            <w:r w:rsidR="00454299">
              <w:rPr>
                <w:rFonts w:ascii="Arial" w:hAnsi="Arial" w:cs="Arial"/>
                <w:b/>
                <w:bCs/>
                <w:sz w:val="18"/>
                <w:szCs w:val="18"/>
              </w:rPr>
              <w:t>,</w:t>
            </w:r>
            <w:r>
              <w:rPr>
                <w:rFonts w:ascii="Arial" w:hAnsi="Arial" w:cs="Arial"/>
                <w:b/>
                <w:bCs/>
                <w:sz w:val="18"/>
                <w:szCs w:val="18"/>
              </w:rPr>
              <w:t>8</w:t>
            </w:r>
            <w:r>
              <w:rPr>
                <w:rFonts w:ascii="Arial" w:hAnsi="Arial" w:cs="Arial"/>
                <w:b/>
                <w:sz w:val="18"/>
                <w:szCs w:val="18"/>
              </w:rPr>
              <w:t>)</w:t>
            </w:r>
          </w:p>
        </w:tc>
        <w:tc>
          <w:tcPr>
            <w:tcW w:w="1861" w:type="dxa"/>
            <w:tcBorders>
              <w:bottom w:val="single" w:sz="2" w:space="0" w:color="808080" w:themeColor="background1" w:themeShade="80"/>
            </w:tcBorders>
            <w:shd w:val="clear" w:color="auto" w:fill="D9D9D9" w:themeFill="background1" w:themeFillShade="D9"/>
            <w:vAlign w:val="center"/>
          </w:tcPr>
          <w:p w14:paraId="2B82F893" w14:textId="6679309A"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sz w:val="18"/>
                <w:szCs w:val="18"/>
              </w:rPr>
              <w:t>(</w:t>
            </w:r>
            <w:r>
              <w:rPr>
                <w:rFonts w:ascii="Arial" w:hAnsi="Arial" w:cs="Arial"/>
                <w:b/>
                <w:bCs/>
                <w:sz w:val="18"/>
                <w:szCs w:val="18"/>
              </w:rPr>
              <w:t>1</w:t>
            </w:r>
            <w:r w:rsidR="00454299">
              <w:rPr>
                <w:rFonts w:ascii="Arial" w:hAnsi="Arial" w:cs="Arial"/>
                <w:b/>
                <w:sz w:val="18"/>
                <w:szCs w:val="18"/>
              </w:rPr>
              <w:t>,</w:t>
            </w:r>
            <w:r>
              <w:rPr>
                <w:rFonts w:ascii="Arial" w:hAnsi="Arial" w:cs="Arial"/>
                <w:b/>
                <w:sz w:val="18"/>
                <w:szCs w:val="18"/>
              </w:rPr>
              <w:t>7)</w:t>
            </w:r>
          </w:p>
        </w:tc>
        <w:tc>
          <w:tcPr>
            <w:tcW w:w="2166" w:type="dxa"/>
            <w:tcBorders>
              <w:bottom w:val="single" w:sz="2" w:space="0" w:color="808080" w:themeColor="background1" w:themeShade="80"/>
            </w:tcBorders>
            <w:shd w:val="clear" w:color="auto" w:fill="D9D9D9" w:themeFill="background1" w:themeFillShade="D9"/>
            <w:vAlign w:val="center"/>
          </w:tcPr>
          <w:p w14:paraId="5A86DF51" w14:textId="5DD90B6E"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sidRPr="00C86E77">
              <w:rPr>
                <w:rFonts w:ascii="Arial" w:hAnsi="Arial" w:cs="Arial"/>
                <w:b/>
                <w:sz w:val="18"/>
                <w:szCs w:val="18"/>
              </w:rPr>
              <w:t>-</w:t>
            </w:r>
          </w:p>
        </w:tc>
      </w:tr>
      <w:tr w:rsidR="00785528" w:rsidRPr="00CA6E28" w14:paraId="705A1B6F" w14:textId="77777777" w:rsidTr="007077AF">
        <w:trPr>
          <w:trHeight w:val="267"/>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229F4F0" w14:textId="3AD114B8"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rPr>
              <w:t>Κέρδη προ φόρων</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D66E030" w14:textId="0B6129A9"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sz w:val="18"/>
                <w:szCs w:val="18"/>
              </w:rPr>
              <w:t>183</w:t>
            </w:r>
            <w:r w:rsidR="00454299">
              <w:rPr>
                <w:rFonts w:ascii="Arial" w:hAnsi="Arial" w:cs="Arial"/>
                <w:b/>
                <w:sz w:val="18"/>
                <w:szCs w:val="18"/>
              </w:rPr>
              <w:t>,</w:t>
            </w:r>
            <w:r>
              <w:rPr>
                <w:rFonts w:ascii="Arial" w:hAnsi="Arial" w:cs="Arial"/>
                <w:b/>
                <w:sz w:val="18"/>
                <w:szCs w:val="18"/>
              </w:rPr>
              <w:t>1</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B3644F" w14:textId="5C87F1AB"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sz w:val="18"/>
                <w:szCs w:val="18"/>
              </w:rPr>
              <w:t>186</w:t>
            </w:r>
            <w:r w:rsidR="00454299">
              <w:rPr>
                <w:rFonts w:ascii="Arial" w:hAnsi="Arial" w:cs="Arial"/>
                <w:b/>
                <w:bCs/>
                <w:sz w:val="18"/>
                <w:szCs w:val="18"/>
              </w:rPr>
              <w:t>,</w:t>
            </w:r>
            <w:r>
              <w:rPr>
                <w:rFonts w:ascii="Arial" w:hAnsi="Arial" w:cs="Arial"/>
                <w:b/>
                <w:bCs/>
                <w:sz w:val="18"/>
                <w:szCs w:val="18"/>
              </w:rPr>
              <w:t>3</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31C007F" w14:textId="023ACC7D"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sz w:val="18"/>
                <w:szCs w:val="18"/>
              </w:rPr>
              <w:t>-1</w:t>
            </w:r>
            <w:r w:rsidR="00454299">
              <w:rPr>
                <w:rFonts w:ascii="Arial" w:hAnsi="Arial" w:cs="Arial"/>
                <w:b/>
                <w:sz w:val="18"/>
                <w:szCs w:val="18"/>
              </w:rPr>
              <w:t>,</w:t>
            </w:r>
            <w:r>
              <w:rPr>
                <w:rFonts w:ascii="Arial" w:hAnsi="Arial" w:cs="Arial"/>
                <w:b/>
                <w:sz w:val="18"/>
                <w:szCs w:val="18"/>
              </w:rPr>
              <w:t>7%</w:t>
            </w:r>
          </w:p>
        </w:tc>
      </w:tr>
      <w:tr w:rsidR="00F800E8" w:rsidRPr="00CA6E28" w14:paraId="4B68F6A1"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B27A5B" w14:textId="0214AAFE"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sz w:val="18"/>
                <w:szCs w:val="18"/>
              </w:rPr>
              <w:t>Φόρος εισοδήματος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A93F154" w14:textId="7E12A85C"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sz w:val="18"/>
                <w:szCs w:val="18"/>
              </w:rPr>
              <w:t>(44</w:t>
            </w:r>
            <w:r w:rsidR="00454299">
              <w:rPr>
                <w:rFonts w:ascii="Arial" w:hAnsi="Arial" w:cs="Arial"/>
                <w:sz w:val="18"/>
                <w:szCs w:val="18"/>
              </w:rPr>
              <w:t>,</w:t>
            </w:r>
            <w:r>
              <w:rPr>
                <w:rFonts w:ascii="Arial" w:hAnsi="Arial" w:cs="Arial"/>
                <w:sz w:val="18"/>
                <w:szCs w:val="18"/>
              </w:rPr>
              <w:t>9)</w:t>
            </w:r>
          </w:p>
        </w:tc>
        <w:tc>
          <w:tcPr>
            <w:tcW w:w="1861" w:type="dxa"/>
            <w:tcBorders>
              <w:top w:val="single" w:sz="2" w:space="0" w:color="808080" w:themeColor="background1" w:themeShade="80"/>
              <w:bottom w:val="single" w:sz="2" w:space="0" w:color="808080" w:themeColor="background1" w:themeShade="80"/>
            </w:tcBorders>
            <w:vAlign w:val="center"/>
          </w:tcPr>
          <w:p w14:paraId="589DF2A4" w14:textId="0569FB39"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sz w:val="18"/>
                <w:szCs w:val="18"/>
              </w:rPr>
              <w:t>(34</w:t>
            </w:r>
            <w:r w:rsidR="00454299">
              <w:rPr>
                <w:rFonts w:ascii="Arial" w:hAnsi="Arial" w:cs="Arial"/>
                <w:sz w:val="18"/>
                <w:szCs w:val="18"/>
              </w:rPr>
              <w:t>,</w:t>
            </w:r>
            <w:r>
              <w:rPr>
                <w:rFonts w:ascii="Arial" w:hAnsi="Arial" w:cs="Arial"/>
                <w:sz w:val="18"/>
                <w:szCs w:val="18"/>
              </w:rPr>
              <w:t>5)</w:t>
            </w:r>
          </w:p>
        </w:tc>
        <w:tc>
          <w:tcPr>
            <w:tcW w:w="2166" w:type="dxa"/>
            <w:tcBorders>
              <w:top w:val="single" w:sz="2" w:space="0" w:color="808080" w:themeColor="background1" w:themeShade="80"/>
              <w:bottom w:val="single" w:sz="2" w:space="0" w:color="808080" w:themeColor="background1" w:themeShade="80"/>
            </w:tcBorders>
            <w:vAlign w:val="center"/>
          </w:tcPr>
          <w:p w14:paraId="3E725039" w14:textId="5B7921C6"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sz w:val="18"/>
                <w:szCs w:val="18"/>
              </w:rPr>
              <w:t>+30</w:t>
            </w:r>
            <w:r w:rsidR="00454299">
              <w:rPr>
                <w:rFonts w:ascii="Arial" w:hAnsi="Arial" w:cs="Arial"/>
                <w:sz w:val="18"/>
                <w:szCs w:val="18"/>
              </w:rPr>
              <w:t>,</w:t>
            </w:r>
            <w:r>
              <w:rPr>
                <w:rFonts w:ascii="Arial" w:hAnsi="Arial" w:cs="Arial"/>
                <w:sz w:val="18"/>
                <w:szCs w:val="18"/>
              </w:rPr>
              <w:t>1%</w:t>
            </w:r>
          </w:p>
        </w:tc>
      </w:tr>
      <w:tr w:rsidR="00785528" w:rsidRPr="00CA6E28" w14:paraId="2DF39EB1"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219279" w14:textId="59963C6B" w:rsidR="00F800E8" w:rsidRPr="00506BBE" w:rsidRDefault="00F800E8" w:rsidP="00F800E8">
            <w:pPr>
              <w:pStyle w:val="ColorfulList-Accent11"/>
              <w:tabs>
                <w:tab w:val="left" w:pos="0"/>
                <w:tab w:val="left" w:pos="284"/>
              </w:tabs>
              <w:ind w:left="0" w:right="-90"/>
              <w:rPr>
                <w:rFonts w:ascii="Arial" w:hAnsi="Arial" w:cs="Arial"/>
                <w:sz w:val="18"/>
                <w:szCs w:val="18"/>
                <w:lang w:val="el-GR"/>
              </w:rPr>
            </w:pPr>
            <w:r w:rsidRPr="00506BBE">
              <w:rPr>
                <w:rFonts w:ascii="Arial" w:hAnsi="Arial" w:cs="Arial"/>
                <w:sz w:val="18"/>
                <w:szCs w:val="18"/>
                <w:lang w:val="el-GR"/>
              </w:rPr>
              <w:t>Κέρδη χρήσης από συνεχιζόμενες δραστηριότητες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4FD1AC6" w14:textId="27B2F2AA"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bCs/>
                <w:sz w:val="18"/>
                <w:szCs w:val="18"/>
              </w:rPr>
              <w:t>138</w:t>
            </w:r>
            <w:r w:rsidR="00454299">
              <w:rPr>
                <w:rFonts w:ascii="Arial" w:hAnsi="Arial" w:cs="Arial"/>
                <w:b/>
                <w:bCs/>
                <w:sz w:val="18"/>
                <w:szCs w:val="18"/>
              </w:rPr>
              <w:t>,</w:t>
            </w:r>
            <w:r>
              <w:rPr>
                <w:rFonts w:ascii="Arial" w:hAnsi="Arial" w:cs="Arial"/>
                <w:b/>
                <w:bCs/>
                <w:sz w:val="18"/>
                <w:szCs w:val="18"/>
              </w:rPr>
              <w:t>2</w:t>
            </w: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F910A5" w14:textId="79C63F37"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bCs/>
                <w:sz w:val="18"/>
                <w:szCs w:val="18"/>
              </w:rPr>
              <w:t>151</w:t>
            </w:r>
            <w:r w:rsidR="00454299">
              <w:rPr>
                <w:rFonts w:ascii="Arial" w:hAnsi="Arial" w:cs="Arial"/>
                <w:b/>
                <w:bCs/>
                <w:sz w:val="18"/>
                <w:szCs w:val="18"/>
              </w:rPr>
              <w:t>,</w:t>
            </w:r>
            <w:r>
              <w:rPr>
                <w:rFonts w:ascii="Arial" w:hAnsi="Arial" w:cs="Arial"/>
                <w:b/>
                <w:bCs/>
                <w:sz w:val="18"/>
                <w:szCs w:val="18"/>
              </w:rPr>
              <w:t>8</w:t>
            </w: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A006760" w14:textId="111BD16A"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sz w:val="18"/>
                <w:szCs w:val="18"/>
              </w:rPr>
              <w:t>-</w:t>
            </w:r>
            <w:r>
              <w:rPr>
                <w:rFonts w:ascii="Arial" w:hAnsi="Arial" w:cs="Arial"/>
                <w:b/>
                <w:bCs/>
                <w:sz w:val="18"/>
                <w:szCs w:val="18"/>
              </w:rPr>
              <w:t>9</w:t>
            </w:r>
            <w:r w:rsidR="00454299">
              <w:rPr>
                <w:rFonts w:ascii="Arial" w:hAnsi="Arial" w:cs="Arial"/>
                <w:b/>
                <w:bCs/>
                <w:sz w:val="18"/>
                <w:szCs w:val="18"/>
              </w:rPr>
              <w:t>,</w:t>
            </w:r>
            <w:r>
              <w:rPr>
                <w:rFonts w:ascii="Arial" w:hAnsi="Arial" w:cs="Arial"/>
                <w:b/>
                <w:bCs/>
                <w:sz w:val="18"/>
                <w:szCs w:val="18"/>
              </w:rPr>
              <w:t>0</w:t>
            </w:r>
            <w:r>
              <w:rPr>
                <w:rFonts w:ascii="Arial" w:hAnsi="Arial" w:cs="Arial"/>
                <w:b/>
                <w:sz w:val="18"/>
                <w:szCs w:val="18"/>
              </w:rPr>
              <w:t>%</w:t>
            </w:r>
          </w:p>
        </w:tc>
      </w:tr>
      <w:tr w:rsidR="00785528" w:rsidRPr="00CA6E28" w14:paraId="2EF923A9"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040D8A" w14:textId="7DAF344B" w:rsidR="00F800E8" w:rsidRPr="00CA6E28" w:rsidRDefault="00F800E8" w:rsidP="00F800E8">
            <w:pPr>
              <w:pStyle w:val="ColorfulList-Accent11"/>
              <w:tabs>
                <w:tab w:val="left" w:pos="0"/>
                <w:tab w:val="left" w:pos="284"/>
              </w:tabs>
              <w:ind w:left="0" w:right="-90"/>
              <w:rPr>
                <w:rFonts w:ascii="Arial" w:hAnsi="Arial" w:cs="Arial"/>
                <w:sz w:val="18"/>
                <w:szCs w:val="18"/>
                <w:lang w:val="el-GR"/>
              </w:rPr>
            </w:pPr>
            <w:r w:rsidRPr="00506BBE">
              <w:rPr>
                <w:rFonts w:ascii="Arial" w:hAnsi="Arial" w:cs="Arial"/>
                <w:sz w:val="18"/>
                <w:szCs w:val="18"/>
                <w:lang w:val="el-GR"/>
              </w:rPr>
              <w:t>Ζημιές</w:t>
            </w:r>
            <w:r w:rsidRPr="00CA6E28">
              <w:rPr>
                <w:rFonts w:ascii="Arial" w:hAnsi="Arial" w:cs="Arial"/>
                <w:sz w:val="18"/>
                <w:szCs w:val="18"/>
                <w:lang w:val="el-GR"/>
              </w:rPr>
              <w:t xml:space="preserve"> από διακοπείσες δραστηριότητες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A885859" w14:textId="59EE46E4"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sz w:val="18"/>
                <w:szCs w:val="18"/>
              </w:rPr>
              <w:t>-</w:t>
            </w:r>
          </w:p>
        </w:tc>
        <w:tc>
          <w:tcPr>
            <w:tcW w:w="1861"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B239DB" w14:textId="1D8E446A"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sz w:val="18"/>
                <w:szCs w:val="18"/>
              </w:rPr>
              <w:t>(2</w:t>
            </w:r>
            <w:r w:rsidR="00454299">
              <w:rPr>
                <w:rFonts w:ascii="Arial" w:hAnsi="Arial" w:cs="Arial"/>
                <w:sz w:val="18"/>
                <w:szCs w:val="18"/>
              </w:rPr>
              <w:t>,</w:t>
            </w:r>
            <w:r>
              <w:rPr>
                <w:rFonts w:ascii="Arial" w:hAnsi="Arial" w:cs="Arial"/>
                <w:sz w:val="18"/>
                <w:szCs w:val="18"/>
              </w:rPr>
              <w:t>9)</w:t>
            </w:r>
          </w:p>
        </w:tc>
        <w:tc>
          <w:tcPr>
            <w:tcW w:w="216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F625323" w14:textId="39EB69E0"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sz w:val="18"/>
                <w:szCs w:val="18"/>
              </w:rPr>
              <w:t>-</w:t>
            </w:r>
          </w:p>
        </w:tc>
      </w:tr>
      <w:tr w:rsidR="00785528" w:rsidRPr="00CA6E28" w14:paraId="775D906F"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60F17DE" w14:textId="7F74F68A" w:rsidR="00F800E8" w:rsidRPr="00CA6E28" w:rsidRDefault="00F800E8" w:rsidP="00F800E8">
            <w:pPr>
              <w:pStyle w:val="ColorfulList-Accent11"/>
              <w:tabs>
                <w:tab w:val="left" w:pos="0"/>
                <w:tab w:val="left" w:pos="284"/>
              </w:tabs>
              <w:ind w:left="0" w:right="-90"/>
              <w:rPr>
                <w:rFonts w:ascii="Arial" w:hAnsi="Arial" w:cs="Arial"/>
                <w:b/>
                <w:bCs/>
                <w:sz w:val="18"/>
                <w:szCs w:val="18"/>
                <w:lang w:val="el-GR"/>
              </w:rPr>
            </w:pPr>
            <w:r w:rsidRPr="00CA6E28">
              <w:rPr>
                <w:rFonts w:ascii="Arial" w:hAnsi="Arial" w:cs="Arial"/>
                <w:b/>
                <w:bCs/>
                <w:sz w:val="18"/>
                <w:szCs w:val="18"/>
                <w:lang w:val="el-GR"/>
              </w:rPr>
              <w:t>Κέρδη χρήσης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C13487D" w14:textId="2E183D83"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bCs/>
                <w:sz w:val="18"/>
                <w:szCs w:val="18"/>
              </w:rPr>
              <w:t>138</w:t>
            </w:r>
            <w:r w:rsidR="00454299">
              <w:rPr>
                <w:rFonts w:ascii="Arial" w:hAnsi="Arial" w:cs="Arial"/>
                <w:b/>
                <w:bCs/>
                <w:sz w:val="18"/>
                <w:szCs w:val="18"/>
              </w:rPr>
              <w:t>,</w:t>
            </w:r>
            <w:r>
              <w:rPr>
                <w:rFonts w:ascii="Arial" w:hAnsi="Arial" w:cs="Arial"/>
                <w:b/>
                <w:bCs/>
                <w:sz w:val="18"/>
                <w:szCs w:val="18"/>
              </w:rPr>
              <w:t>2</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AD096A9" w14:textId="5C4C1A89"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bCs/>
                <w:sz w:val="18"/>
                <w:szCs w:val="18"/>
              </w:rPr>
              <w:t>148</w:t>
            </w:r>
            <w:r w:rsidR="00454299">
              <w:rPr>
                <w:rFonts w:ascii="Arial" w:hAnsi="Arial" w:cs="Arial"/>
                <w:b/>
                <w:bCs/>
                <w:sz w:val="18"/>
                <w:szCs w:val="18"/>
              </w:rPr>
              <w:t>,</w:t>
            </w:r>
            <w:r>
              <w:rPr>
                <w:rFonts w:ascii="Arial" w:hAnsi="Arial" w:cs="Arial"/>
                <w:b/>
                <w:bCs/>
                <w:sz w:val="18"/>
                <w:szCs w:val="18"/>
              </w:rPr>
              <w:t>9</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F30B487" w14:textId="79184845"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sz w:val="18"/>
                <w:szCs w:val="18"/>
              </w:rPr>
              <w:t>-</w:t>
            </w:r>
            <w:r>
              <w:rPr>
                <w:rFonts w:ascii="Arial" w:hAnsi="Arial" w:cs="Arial"/>
                <w:b/>
                <w:bCs/>
                <w:sz w:val="18"/>
                <w:szCs w:val="18"/>
              </w:rPr>
              <w:t>7</w:t>
            </w:r>
            <w:r w:rsidR="00454299">
              <w:rPr>
                <w:rFonts w:ascii="Arial" w:hAnsi="Arial" w:cs="Arial"/>
                <w:b/>
                <w:bCs/>
                <w:sz w:val="18"/>
                <w:szCs w:val="18"/>
              </w:rPr>
              <w:t>,</w:t>
            </w:r>
            <w:r>
              <w:rPr>
                <w:rFonts w:ascii="Arial" w:hAnsi="Arial" w:cs="Arial"/>
                <w:b/>
                <w:bCs/>
                <w:sz w:val="18"/>
                <w:szCs w:val="18"/>
              </w:rPr>
              <w:t>2</w:t>
            </w:r>
            <w:r>
              <w:rPr>
                <w:rFonts w:ascii="Arial" w:hAnsi="Arial" w:cs="Arial"/>
                <w:b/>
                <w:sz w:val="18"/>
                <w:szCs w:val="18"/>
              </w:rPr>
              <w:t>%</w:t>
            </w:r>
          </w:p>
        </w:tc>
      </w:tr>
      <w:tr w:rsidR="00F800E8" w:rsidRPr="00CA6E28" w14:paraId="3BA1059E"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6A4D71" w14:textId="310D1BA7" w:rsidR="00F800E8" w:rsidRPr="00CA6E28" w:rsidRDefault="00F800E8" w:rsidP="00F800E8">
            <w:pPr>
              <w:pStyle w:val="ColorfulList-Accent11"/>
              <w:tabs>
                <w:tab w:val="left" w:pos="0"/>
                <w:tab w:val="left" w:pos="284"/>
              </w:tabs>
              <w:ind w:left="0" w:right="-90"/>
              <w:rPr>
                <w:rFonts w:ascii="Arial" w:hAnsi="Arial" w:cs="Arial"/>
                <w:sz w:val="18"/>
                <w:szCs w:val="18"/>
              </w:rPr>
            </w:pPr>
            <w:r w:rsidRPr="00CA6E28">
              <w:rPr>
                <w:rFonts w:ascii="Arial" w:hAnsi="Arial" w:cs="Arial"/>
                <w:sz w:val="18"/>
                <w:szCs w:val="18"/>
                <w:lang w:val="el-GR"/>
              </w:rPr>
              <w:t>Κατανεμόμενα σε</w:t>
            </w:r>
            <w:r w:rsidRPr="00CA6E28">
              <w:rPr>
                <w:rFonts w:ascii="Arial" w:hAnsi="Arial" w:cs="Arial"/>
                <w:sz w:val="18"/>
                <w:szCs w:val="18"/>
              </w:rPr>
              <w:t>:</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129A99D" w14:textId="4A5E0C6D"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p>
        </w:tc>
        <w:tc>
          <w:tcPr>
            <w:tcW w:w="1861" w:type="dxa"/>
            <w:tcBorders>
              <w:top w:val="single" w:sz="2" w:space="0" w:color="808080" w:themeColor="background1" w:themeShade="80"/>
              <w:bottom w:val="single" w:sz="2" w:space="0" w:color="808080" w:themeColor="background1" w:themeShade="80"/>
            </w:tcBorders>
            <w:vAlign w:val="center"/>
          </w:tcPr>
          <w:p w14:paraId="165CC368" w14:textId="64271503"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p>
        </w:tc>
        <w:tc>
          <w:tcPr>
            <w:tcW w:w="2166" w:type="dxa"/>
            <w:tcBorders>
              <w:top w:val="single" w:sz="2" w:space="0" w:color="808080" w:themeColor="background1" w:themeShade="80"/>
              <w:bottom w:val="single" w:sz="2" w:space="0" w:color="808080" w:themeColor="background1" w:themeShade="80"/>
            </w:tcBorders>
            <w:vAlign w:val="center"/>
          </w:tcPr>
          <w:p w14:paraId="7FC11850" w14:textId="41653ECD"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p>
        </w:tc>
      </w:tr>
      <w:tr w:rsidR="00785528" w:rsidRPr="00CA6E28" w14:paraId="419F6C9B"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9A1F2F3" w14:textId="54894C92" w:rsidR="00F800E8" w:rsidRPr="00FC1703" w:rsidRDefault="00F800E8" w:rsidP="00F800E8">
            <w:pPr>
              <w:pStyle w:val="ColorfulList-Accent11"/>
              <w:tabs>
                <w:tab w:val="left" w:pos="0"/>
                <w:tab w:val="left" w:pos="284"/>
              </w:tabs>
              <w:ind w:left="0" w:right="-90"/>
              <w:rPr>
                <w:rFonts w:ascii="Arial" w:hAnsi="Arial" w:cs="Arial"/>
                <w:b/>
                <w:sz w:val="18"/>
                <w:szCs w:val="18"/>
                <w:lang w:val="el-GR"/>
              </w:rPr>
            </w:pPr>
            <w:r w:rsidRPr="00FC1703">
              <w:rPr>
                <w:rFonts w:ascii="Arial" w:hAnsi="Arial" w:cs="Arial"/>
                <w:b/>
                <w:sz w:val="18"/>
                <w:szCs w:val="18"/>
                <w:lang w:val="el-GR"/>
              </w:rPr>
              <w:t xml:space="preserve">Μετόχους της εταιρείας </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4F21B76" w14:textId="21A0583B"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bCs/>
                <w:sz w:val="18"/>
                <w:szCs w:val="18"/>
              </w:rPr>
              <w:t>138</w:t>
            </w:r>
            <w:r w:rsidR="00454299">
              <w:rPr>
                <w:rFonts w:ascii="Arial" w:hAnsi="Arial" w:cs="Arial"/>
                <w:b/>
                <w:bCs/>
                <w:sz w:val="18"/>
                <w:szCs w:val="18"/>
              </w:rPr>
              <w:t>,</w:t>
            </w:r>
            <w:r>
              <w:rPr>
                <w:rFonts w:ascii="Arial" w:hAnsi="Arial" w:cs="Arial"/>
                <w:b/>
                <w:bCs/>
                <w:sz w:val="18"/>
                <w:szCs w:val="18"/>
              </w:rPr>
              <w:t>2</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71446C6" w14:textId="1721F660"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bCs/>
                <w:sz w:val="18"/>
                <w:szCs w:val="18"/>
              </w:rPr>
              <w:t>148</w:t>
            </w:r>
            <w:r w:rsidR="00454299">
              <w:rPr>
                <w:rFonts w:ascii="Arial" w:hAnsi="Arial" w:cs="Arial"/>
                <w:b/>
                <w:bCs/>
                <w:sz w:val="18"/>
                <w:szCs w:val="18"/>
              </w:rPr>
              <w:t>,</w:t>
            </w:r>
            <w:r>
              <w:rPr>
                <w:rFonts w:ascii="Arial" w:hAnsi="Arial" w:cs="Arial"/>
                <w:b/>
                <w:bCs/>
                <w:sz w:val="18"/>
                <w:szCs w:val="18"/>
              </w:rPr>
              <w:t>9</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FEBE9A6" w14:textId="421B343C" w:rsidR="00F800E8" w:rsidRPr="005933BA" w:rsidRDefault="00F800E8" w:rsidP="00F800E8">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b/>
                <w:sz w:val="18"/>
                <w:szCs w:val="18"/>
              </w:rPr>
              <w:t>-</w:t>
            </w:r>
            <w:r>
              <w:rPr>
                <w:rFonts w:ascii="Arial" w:hAnsi="Arial" w:cs="Arial"/>
                <w:b/>
                <w:bCs/>
                <w:sz w:val="18"/>
                <w:szCs w:val="18"/>
              </w:rPr>
              <w:t>7</w:t>
            </w:r>
            <w:r w:rsidR="00454299">
              <w:rPr>
                <w:rFonts w:ascii="Arial" w:hAnsi="Arial" w:cs="Arial"/>
                <w:b/>
                <w:bCs/>
                <w:sz w:val="18"/>
                <w:szCs w:val="18"/>
              </w:rPr>
              <w:t>,</w:t>
            </w:r>
            <w:r>
              <w:rPr>
                <w:rFonts w:ascii="Arial" w:hAnsi="Arial" w:cs="Arial"/>
                <w:b/>
                <w:bCs/>
                <w:sz w:val="18"/>
                <w:szCs w:val="18"/>
              </w:rPr>
              <w:t>2</w:t>
            </w:r>
            <w:r>
              <w:rPr>
                <w:rFonts w:ascii="Arial" w:hAnsi="Arial" w:cs="Arial"/>
                <w:b/>
                <w:sz w:val="18"/>
                <w:szCs w:val="18"/>
              </w:rPr>
              <w:t>%</w:t>
            </w:r>
          </w:p>
        </w:tc>
      </w:tr>
      <w:tr w:rsidR="00785528" w:rsidRPr="00CA6E28" w14:paraId="31891570" w14:textId="77777777" w:rsidTr="007077AF">
        <w:trPr>
          <w:trHeight w:val="256"/>
        </w:trPr>
        <w:tc>
          <w:tcPr>
            <w:tcW w:w="4930"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B1771E1" w14:textId="565B4779" w:rsidR="00F800E8" w:rsidRPr="00CA6E28" w:rsidRDefault="00F800E8" w:rsidP="00F800E8">
            <w:pPr>
              <w:pStyle w:val="ColorfulList-Accent11"/>
              <w:tabs>
                <w:tab w:val="left" w:pos="0"/>
                <w:tab w:val="left" w:pos="284"/>
              </w:tabs>
              <w:ind w:left="0" w:right="-90"/>
              <w:rPr>
                <w:rFonts w:ascii="Arial" w:hAnsi="Arial" w:cs="Arial"/>
                <w:b/>
                <w:sz w:val="18"/>
                <w:szCs w:val="18"/>
              </w:rPr>
            </w:pPr>
            <w:r w:rsidRPr="00CA6E28">
              <w:rPr>
                <w:rFonts w:ascii="Arial" w:hAnsi="Arial" w:cs="Arial"/>
                <w:b/>
                <w:sz w:val="18"/>
                <w:szCs w:val="18"/>
              </w:rPr>
              <w:t>Μη ελέγχουσες συμμετοχές</w:t>
            </w:r>
          </w:p>
        </w:tc>
        <w:tc>
          <w:tcPr>
            <w:tcW w:w="127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7887A7" w14:textId="198D6206"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sz w:val="18"/>
                <w:szCs w:val="18"/>
              </w:rPr>
              <w:t>-</w:t>
            </w:r>
          </w:p>
        </w:tc>
        <w:tc>
          <w:tcPr>
            <w:tcW w:w="1861"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3F8CD02" w14:textId="5FF65140"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sz w:val="18"/>
                <w:szCs w:val="18"/>
              </w:rPr>
              <w:t>-</w:t>
            </w:r>
          </w:p>
        </w:tc>
        <w:tc>
          <w:tcPr>
            <w:tcW w:w="216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ADDC088" w14:textId="0797F2A0" w:rsidR="00F800E8" w:rsidRPr="005933BA" w:rsidRDefault="00F800E8" w:rsidP="00F800E8">
            <w:pPr>
              <w:pStyle w:val="ColorfulList-Accent11"/>
              <w:tabs>
                <w:tab w:val="left" w:pos="0"/>
                <w:tab w:val="left" w:pos="284"/>
              </w:tabs>
              <w:ind w:left="0" w:right="-90"/>
              <w:jc w:val="center"/>
              <w:rPr>
                <w:rFonts w:ascii="Arial" w:hAnsi="Arial" w:cs="Arial"/>
                <w:b/>
                <w:color w:val="000000" w:themeColor="text1"/>
                <w:sz w:val="18"/>
                <w:szCs w:val="18"/>
              </w:rPr>
            </w:pPr>
            <w:r w:rsidRPr="00C86E77">
              <w:rPr>
                <w:rFonts w:ascii="Arial" w:hAnsi="Arial" w:cs="Arial"/>
                <w:b/>
                <w:sz w:val="18"/>
                <w:szCs w:val="18"/>
              </w:rPr>
              <w:t>-</w:t>
            </w:r>
          </w:p>
        </w:tc>
      </w:tr>
    </w:tbl>
    <w:p w14:paraId="4C89B923" w14:textId="77777777" w:rsidR="0039249F" w:rsidRDefault="0039249F" w:rsidP="00097EA2">
      <w:pPr>
        <w:pStyle w:val="Normal2"/>
        <w:numPr>
          <w:ilvl w:val="0"/>
          <w:numId w:val="0"/>
        </w:numPr>
        <w:tabs>
          <w:tab w:val="num" w:pos="709"/>
        </w:tabs>
        <w:ind w:left="567" w:hanging="283"/>
        <w:rPr>
          <w:rFonts w:cs="Arial"/>
        </w:rPr>
      </w:pPr>
    </w:p>
    <w:p w14:paraId="6CEAD308" w14:textId="77777777" w:rsidR="0039249F" w:rsidRDefault="0039249F">
      <w:pPr>
        <w:rPr>
          <w:rFonts w:ascii="Arial" w:eastAsia="Times New Roman" w:hAnsi="Arial" w:cs="Arial"/>
          <w:b/>
          <w:bCs/>
          <w:color w:val="004E9A"/>
          <w:sz w:val="24"/>
          <w:szCs w:val="24"/>
          <w:lang w:val="en-US" w:eastAsia="el-GR"/>
        </w:rPr>
      </w:pPr>
      <w:r>
        <w:rPr>
          <w:rFonts w:cs="Arial"/>
        </w:rPr>
        <w:br w:type="page"/>
      </w:r>
    </w:p>
    <w:p w14:paraId="0E5B5EC9" w14:textId="4992324C" w:rsidR="003B215B" w:rsidRPr="00FB20CB" w:rsidRDefault="00726B8A" w:rsidP="00097EA2">
      <w:pPr>
        <w:pStyle w:val="Normal2"/>
        <w:numPr>
          <w:ilvl w:val="0"/>
          <w:numId w:val="0"/>
        </w:numPr>
        <w:tabs>
          <w:tab w:val="num" w:pos="709"/>
        </w:tabs>
        <w:ind w:left="567" w:hanging="283"/>
        <w:rPr>
          <w:rFonts w:cs="Arial"/>
        </w:rPr>
      </w:pPr>
      <w:r w:rsidRPr="00FB20CB">
        <w:rPr>
          <w:rFonts w:cs="Arial"/>
        </w:rPr>
        <w:lastRenderedPageBreak/>
        <w:t>IV</w:t>
      </w:r>
      <w:r w:rsidR="0056658D" w:rsidRPr="00FB20CB">
        <w:rPr>
          <w:rFonts w:cs="Arial"/>
        </w:rPr>
        <w:t>.</w:t>
      </w:r>
      <w:r w:rsidRPr="00FB20CB">
        <w:rPr>
          <w:rFonts w:cs="Arial"/>
        </w:rPr>
        <w:t xml:space="preserve"> </w:t>
      </w:r>
      <w:r w:rsidR="00781597" w:rsidRPr="00FB20CB">
        <w:rPr>
          <w:rFonts w:cs="Arial"/>
        </w:rPr>
        <w:t>ΚΑΤΑΣΤΑΣ</w:t>
      </w:r>
      <w:r w:rsidR="005F37D9" w:rsidRPr="00FB20CB">
        <w:rPr>
          <w:rFonts w:cs="Arial"/>
        </w:rPr>
        <w:t>Η</w:t>
      </w:r>
      <w:r w:rsidR="00781597" w:rsidRPr="00FB20CB">
        <w:rPr>
          <w:rFonts w:cs="Arial"/>
        </w:rPr>
        <w:t xml:space="preserve"> ΤΑΜΕΙΑΚΩΝ ΡΟΩΝ</w:t>
      </w:r>
      <w:r w:rsidR="00E2036E">
        <w:rPr>
          <w:rStyle w:val="FootnoteReference"/>
          <w:rFonts w:cs="Arial"/>
        </w:rPr>
        <w:footnoteReference w:id="5"/>
      </w:r>
      <w:r w:rsidR="00781597" w:rsidRPr="00FB20CB">
        <w:rPr>
          <w:rFonts w:cs="Arial"/>
        </w:rPr>
        <w:t xml:space="preserve"> </w:t>
      </w:r>
    </w:p>
    <w:p w14:paraId="662F057B" w14:textId="07AECC07" w:rsidR="0039249F" w:rsidRDefault="0039249F"/>
    <w:tbl>
      <w:tblPr>
        <w:tblStyle w:val="TableGrid"/>
        <w:tblW w:w="100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1"/>
        <w:gridCol w:w="1325"/>
        <w:gridCol w:w="1861"/>
        <w:gridCol w:w="344"/>
      </w:tblGrid>
      <w:tr w:rsidR="0046090F" w:rsidRPr="007E5ABB" w14:paraId="1C370685" w14:textId="77777777" w:rsidTr="00336B42">
        <w:trPr>
          <w:trHeight w:val="186"/>
        </w:trPr>
        <w:tc>
          <w:tcPr>
            <w:tcW w:w="6805" w:type="dxa"/>
            <w:tcBorders>
              <w:bottom w:val="single" w:sz="4" w:space="0" w:color="808080" w:themeColor="background1" w:themeShade="80"/>
              <w:right w:val="single" w:sz="4" w:space="0" w:color="auto"/>
            </w:tcBorders>
            <w:vAlign w:val="bottom"/>
          </w:tcPr>
          <w:p w14:paraId="6368F859" w14:textId="09D0D419" w:rsidR="0039249F" w:rsidRPr="00B27C0F" w:rsidRDefault="0039249F" w:rsidP="00EF40F5">
            <w:pPr>
              <w:pStyle w:val="ColorfulList-Accent11"/>
              <w:tabs>
                <w:tab w:val="left" w:pos="0"/>
                <w:tab w:val="left" w:pos="284"/>
              </w:tabs>
              <w:ind w:left="0" w:right="-90"/>
              <w:rPr>
                <w:rFonts w:ascii="Arial" w:hAnsi="Arial" w:cs="Arial"/>
                <w:sz w:val="18"/>
                <w:szCs w:val="18"/>
                <w:lang w:val="el-GR"/>
              </w:rPr>
            </w:pPr>
          </w:p>
        </w:tc>
        <w:tc>
          <w:tcPr>
            <w:tcW w:w="1354" w:type="dxa"/>
            <w:tcBorders>
              <w:left w:val="single" w:sz="4" w:space="0" w:color="auto"/>
              <w:bottom w:val="single" w:sz="4" w:space="0" w:color="808080" w:themeColor="background1" w:themeShade="80"/>
            </w:tcBorders>
            <w:vAlign w:val="center"/>
          </w:tcPr>
          <w:p w14:paraId="50B03147" w14:textId="63A2756C" w:rsidR="0039249F" w:rsidRPr="00B27C0F" w:rsidRDefault="00336B42" w:rsidP="002620CF">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b/>
                <w:sz w:val="18"/>
                <w:szCs w:val="18"/>
              </w:rPr>
              <w:t>Q</w:t>
            </w:r>
            <w:r>
              <w:rPr>
                <w:rFonts w:ascii="Arial" w:hAnsi="Arial" w:cs="Arial"/>
                <w:b/>
                <w:sz w:val="18"/>
                <w:szCs w:val="18"/>
                <w:lang w:val="el-GR"/>
              </w:rPr>
              <w:t>1</w:t>
            </w:r>
            <w:r w:rsidRPr="007E5ABB">
              <w:rPr>
                <w:rFonts w:ascii="Arial" w:hAnsi="Arial" w:cs="Arial"/>
                <w:b/>
                <w:sz w:val="18"/>
                <w:szCs w:val="18"/>
              </w:rPr>
              <w:t>'2</w:t>
            </w:r>
            <w:r>
              <w:rPr>
                <w:rFonts w:ascii="Arial" w:hAnsi="Arial" w:cs="Arial"/>
                <w:b/>
                <w:sz w:val="18"/>
                <w:szCs w:val="18"/>
                <w:lang w:val="el-GR"/>
              </w:rPr>
              <w:t>6</w:t>
            </w:r>
          </w:p>
        </w:tc>
        <w:tc>
          <w:tcPr>
            <w:tcW w:w="1922" w:type="dxa"/>
            <w:gridSpan w:val="2"/>
            <w:tcBorders>
              <w:bottom w:val="single" w:sz="4" w:space="0" w:color="808080" w:themeColor="background1" w:themeShade="80"/>
            </w:tcBorders>
            <w:vAlign w:val="center"/>
          </w:tcPr>
          <w:p w14:paraId="125F4CBC" w14:textId="6A7F960F" w:rsidR="0039249F" w:rsidRPr="00B27C0F" w:rsidRDefault="00336B42" w:rsidP="002620CF">
            <w:pPr>
              <w:pStyle w:val="ColorfulList-Accent11"/>
              <w:tabs>
                <w:tab w:val="left" w:pos="0"/>
                <w:tab w:val="left" w:pos="284"/>
              </w:tabs>
              <w:ind w:left="0" w:right="-90"/>
              <w:jc w:val="center"/>
              <w:rPr>
                <w:rFonts w:ascii="Arial" w:hAnsi="Arial" w:cs="Arial"/>
                <w:color w:val="FF0000"/>
                <w:sz w:val="18"/>
                <w:szCs w:val="18"/>
                <w:lang w:val="el-GR"/>
              </w:rPr>
            </w:pPr>
            <w:r w:rsidRPr="007E5ABB">
              <w:rPr>
                <w:rFonts w:ascii="Arial" w:hAnsi="Arial" w:cs="Arial"/>
                <w:b/>
                <w:sz w:val="18"/>
                <w:szCs w:val="18"/>
              </w:rPr>
              <w:t>Q</w:t>
            </w:r>
            <w:r>
              <w:rPr>
                <w:rFonts w:ascii="Arial" w:hAnsi="Arial" w:cs="Arial"/>
                <w:b/>
                <w:sz w:val="18"/>
                <w:szCs w:val="18"/>
                <w:lang w:val="el-GR"/>
              </w:rPr>
              <w:t>1</w:t>
            </w:r>
            <w:r w:rsidRPr="007E5ABB">
              <w:rPr>
                <w:rFonts w:ascii="Arial" w:hAnsi="Arial" w:cs="Arial"/>
                <w:b/>
                <w:sz w:val="18"/>
                <w:szCs w:val="18"/>
              </w:rPr>
              <w:t>'2</w:t>
            </w:r>
            <w:r>
              <w:rPr>
                <w:rFonts w:ascii="Arial" w:hAnsi="Arial" w:cs="Arial"/>
                <w:b/>
                <w:sz w:val="18"/>
                <w:szCs w:val="18"/>
                <w:lang w:val="el-GR"/>
              </w:rPr>
              <w:t>5</w:t>
            </w:r>
          </w:p>
        </w:tc>
      </w:tr>
      <w:tr w:rsidR="00336B42" w:rsidRPr="007E5ABB" w14:paraId="79616840" w14:textId="77777777" w:rsidTr="00336B42">
        <w:trPr>
          <w:gridAfter w:val="1"/>
          <w:wAfter w:w="360" w:type="dxa"/>
          <w:trHeight w:val="186"/>
        </w:trPr>
        <w:tc>
          <w:tcPr>
            <w:tcW w:w="6805" w:type="dxa"/>
            <w:tcBorders>
              <w:top w:val="single" w:sz="4" w:space="0" w:color="808080" w:themeColor="background1" w:themeShade="80"/>
              <w:right w:val="single" w:sz="4" w:space="0" w:color="auto"/>
            </w:tcBorders>
            <w:vAlign w:val="bottom"/>
          </w:tcPr>
          <w:p w14:paraId="3B22BA08" w14:textId="0AB46788" w:rsidR="00336B42" w:rsidRPr="007E5ABB" w:rsidRDefault="00336B42" w:rsidP="00336B42">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Ταμειακές ροές από λειτουργικές δραστηριότητες</w:t>
            </w:r>
          </w:p>
        </w:tc>
        <w:tc>
          <w:tcPr>
            <w:tcW w:w="1354" w:type="dxa"/>
            <w:tcBorders>
              <w:top w:val="single" w:sz="4" w:space="0" w:color="808080" w:themeColor="background1" w:themeShade="80"/>
              <w:left w:val="single" w:sz="4" w:space="0" w:color="auto"/>
            </w:tcBorders>
            <w:vAlign w:val="center"/>
          </w:tcPr>
          <w:p w14:paraId="3E478F63" w14:textId="77777777" w:rsidR="00336B42" w:rsidRPr="00B27C0F" w:rsidRDefault="00336B42" w:rsidP="00336B42">
            <w:pPr>
              <w:pStyle w:val="ColorfulList-Accent11"/>
              <w:tabs>
                <w:tab w:val="left" w:pos="0"/>
                <w:tab w:val="left" w:pos="284"/>
              </w:tabs>
              <w:ind w:left="0" w:right="-90"/>
              <w:jc w:val="center"/>
              <w:rPr>
                <w:rFonts w:ascii="Arial" w:hAnsi="Arial" w:cs="Arial"/>
                <w:color w:val="FF0000"/>
                <w:sz w:val="18"/>
                <w:szCs w:val="18"/>
                <w:lang w:val="el-GR"/>
              </w:rPr>
            </w:pPr>
          </w:p>
        </w:tc>
        <w:tc>
          <w:tcPr>
            <w:tcW w:w="1922" w:type="dxa"/>
            <w:tcBorders>
              <w:top w:val="single" w:sz="4" w:space="0" w:color="808080" w:themeColor="background1" w:themeShade="80"/>
            </w:tcBorders>
            <w:vAlign w:val="center"/>
          </w:tcPr>
          <w:p w14:paraId="5A549192" w14:textId="77777777" w:rsidR="00336B42" w:rsidRPr="00B27C0F" w:rsidRDefault="00336B42" w:rsidP="00336B42">
            <w:pPr>
              <w:pStyle w:val="ColorfulList-Accent11"/>
              <w:tabs>
                <w:tab w:val="left" w:pos="0"/>
                <w:tab w:val="left" w:pos="284"/>
              </w:tabs>
              <w:ind w:left="0" w:right="-90"/>
              <w:jc w:val="center"/>
              <w:rPr>
                <w:rFonts w:ascii="Arial" w:hAnsi="Arial" w:cs="Arial"/>
                <w:color w:val="FF0000"/>
                <w:sz w:val="18"/>
                <w:szCs w:val="18"/>
                <w:lang w:val="el-GR"/>
              </w:rPr>
            </w:pPr>
          </w:p>
        </w:tc>
      </w:tr>
      <w:tr w:rsidR="005D65C5" w:rsidRPr="007E5ABB" w14:paraId="628B133E" w14:textId="77777777" w:rsidTr="00336B42">
        <w:trPr>
          <w:trHeight w:val="186"/>
        </w:trPr>
        <w:tc>
          <w:tcPr>
            <w:tcW w:w="6805" w:type="dxa"/>
            <w:tcBorders>
              <w:right w:val="single" w:sz="4" w:space="0" w:color="auto"/>
            </w:tcBorders>
            <w:vAlign w:val="center"/>
          </w:tcPr>
          <w:p w14:paraId="5869CA36" w14:textId="357BB671" w:rsidR="00E820CC" w:rsidRPr="007E5ABB" w:rsidRDefault="00E820CC" w:rsidP="00E820CC">
            <w:pPr>
              <w:pStyle w:val="ColorfulList-Accent11"/>
              <w:tabs>
                <w:tab w:val="left" w:pos="0"/>
                <w:tab w:val="left" w:pos="284"/>
              </w:tabs>
              <w:ind w:left="0" w:right="-90"/>
              <w:rPr>
                <w:rFonts w:ascii="Arial" w:hAnsi="Arial" w:cs="Arial"/>
                <w:sz w:val="18"/>
                <w:szCs w:val="18"/>
                <w:u w:val="single"/>
              </w:rPr>
            </w:pPr>
            <w:r w:rsidRPr="007E5ABB">
              <w:rPr>
                <w:rFonts w:ascii="Arial" w:hAnsi="Arial" w:cs="Arial"/>
                <w:sz w:val="18"/>
                <w:szCs w:val="18"/>
              </w:rPr>
              <w:t>Κέρδη προ φόρων</w:t>
            </w:r>
          </w:p>
        </w:tc>
        <w:tc>
          <w:tcPr>
            <w:tcW w:w="1354" w:type="dxa"/>
            <w:tcBorders>
              <w:left w:val="single" w:sz="4" w:space="0" w:color="auto"/>
            </w:tcBorders>
            <w:vAlign w:val="center"/>
          </w:tcPr>
          <w:p w14:paraId="0FF4C041" w14:textId="655A220B"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440D92">
              <w:rPr>
                <w:rFonts w:ascii="Arial" w:hAnsi="Arial" w:cs="Arial"/>
                <w:sz w:val="18"/>
                <w:szCs w:val="18"/>
              </w:rPr>
              <w:t>183</w:t>
            </w:r>
            <w:r w:rsidR="00454299">
              <w:rPr>
                <w:rFonts w:ascii="Arial" w:hAnsi="Arial" w:cs="Arial"/>
                <w:sz w:val="18"/>
                <w:szCs w:val="18"/>
              </w:rPr>
              <w:t>,</w:t>
            </w:r>
            <w:r w:rsidRPr="00440D92">
              <w:rPr>
                <w:rFonts w:ascii="Arial" w:hAnsi="Arial" w:cs="Arial"/>
                <w:sz w:val="18"/>
                <w:szCs w:val="18"/>
              </w:rPr>
              <w:t>1</w:t>
            </w:r>
          </w:p>
        </w:tc>
        <w:tc>
          <w:tcPr>
            <w:tcW w:w="1922" w:type="dxa"/>
            <w:gridSpan w:val="2"/>
            <w:vAlign w:val="center"/>
          </w:tcPr>
          <w:p w14:paraId="3B804698" w14:textId="13AB1299"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440D92">
              <w:rPr>
                <w:rFonts w:ascii="Arial" w:hAnsi="Arial" w:cs="Arial"/>
                <w:sz w:val="18"/>
                <w:szCs w:val="18"/>
              </w:rPr>
              <w:t>186</w:t>
            </w:r>
            <w:r w:rsidR="00454299">
              <w:rPr>
                <w:rFonts w:ascii="Arial" w:hAnsi="Arial" w:cs="Arial"/>
                <w:sz w:val="18"/>
                <w:szCs w:val="18"/>
              </w:rPr>
              <w:t>,</w:t>
            </w:r>
            <w:r w:rsidRPr="00440D92">
              <w:rPr>
                <w:rFonts w:ascii="Arial" w:hAnsi="Arial" w:cs="Arial"/>
                <w:sz w:val="18"/>
                <w:szCs w:val="18"/>
              </w:rPr>
              <w:t>3</w:t>
            </w:r>
          </w:p>
        </w:tc>
      </w:tr>
      <w:tr w:rsidR="005D65C5" w:rsidRPr="007E5ABB" w14:paraId="18861139" w14:textId="77777777" w:rsidTr="00336B42">
        <w:trPr>
          <w:trHeight w:val="186"/>
        </w:trPr>
        <w:tc>
          <w:tcPr>
            <w:tcW w:w="6805" w:type="dxa"/>
            <w:tcBorders>
              <w:right w:val="single" w:sz="4" w:space="0" w:color="auto"/>
            </w:tcBorders>
            <w:vAlign w:val="center"/>
          </w:tcPr>
          <w:p w14:paraId="54924E1A" w14:textId="6612CAF1" w:rsidR="00E820CC" w:rsidRPr="007E5ABB" w:rsidRDefault="00E820CC" w:rsidP="00E820CC">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Προσαρμογές για:</w:t>
            </w:r>
          </w:p>
        </w:tc>
        <w:tc>
          <w:tcPr>
            <w:tcW w:w="1354" w:type="dxa"/>
            <w:tcBorders>
              <w:left w:val="single" w:sz="4" w:space="0" w:color="auto"/>
            </w:tcBorders>
            <w:vAlign w:val="center"/>
          </w:tcPr>
          <w:p w14:paraId="765D4D71" w14:textId="397E2DE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p>
        </w:tc>
        <w:tc>
          <w:tcPr>
            <w:tcW w:w="1922" w:type="dxa"/>
            <w:gridSpan w:val="2"/>
            <w:vAlign w:val="center"/>
          </w:tcPr>
          <w:p w14:paraId="7470EFD1" w14:textId="38B3BA0E"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p>
        </w:tc>
      </w:tr>
      <w:tr w:rsidR="005D65C5" w:rsidRPr="007E5ABB" w14:paraId="2878AD5B" w14:textId="77777777" w:rsidTr="00336B42">
        <w:trPr>
          <w:trHeight w:val="186"/>
        </w:trPr>
        <w:tc>
          <w:tcPr>
            <w:tcW w:w="6805" w:type="dxa"/>
            <w:tcBorders>
              <w:right w:val="single" w:sz="4" w:space="0" w:color="auto"/>
            </w:tcBorders>
            <w:vAlign w:val="center"/>
          </w:tcPr>
          <w:p w14:paraId="06B0D34D" w14:textId="7A005ABC" w:rsidR="00E820CC" w:rsidRPr="007E5ABB" w:rsidRDefault="00E820CC" w:rsidP="00E820CC">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Αποσβέσεις και απομειώσεις</w:t>
            </w:r>
          </w:p>
        </w:tc>
        <w:tc>
          <w:tcPr>
            <w:tcW w:w="1354" w:type="dxa"/>
            <w:tcBorders>
              <w:left w:val="single" w:sz="4" w:space="0" w:color="auto"/>
            </w:tcBorders>
            <w:vAlign w:val="center"/>
          </w:tcPr>
          <w:p w14:paraId="05456AF0" w14:textId="6D64C5E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144</w:t>
            </w:r>
            <w:r w:rsidR="00454299">
              <w:rPr>
                <w:rFonts w:ascii="Arial" w:hAnsi="Arial" w:cs="Arial"/>
                <w:sz w:val="18"/>
                <w:szCs w:val="18"/>
              </w:rPr>
              <w:t>,</w:t>
            </w:r>
            <w:r>
              <w:rPr>
                <w:rFonts w:ascii="Arial" w:hAnsi="Arial" w:cs="Arial"/>
                <w:sz w:val="18"/>
                <w:szCs w:val="18"/>
              </w:rPr>
              <w:t>6</w:t>
            </w:r>
          </w:p>
        </w:tc>
        <w:tc>
          <w:tcPr>
            <w:tcW w:w="1922" w:type="dxa"/>
            <w:gridSpan w:val="2"/>
            <w:vAlign w:val="center"/>
          </w:tcPr>
          <w:p w14:paraId="53242D90" w14:textId="4E848AE9"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142</w:t>
            </w:r>
            <w:r w:rsidR="00454299">
              <w:rPr>
                <w:rFonts w:ascii="Arial" w:hAnsi="Arial" w:cs="Arial"/>
                <w:sz w:val="18"/>
                <w:szCs w:val="18"/>
              </w:rPr>
              <w:t>,</w:t>
            </w:r>
            <w:r>
              <w:rPr>
                <w:rFonts w:ascii="Arial" w:hAnsi="Arial" w:cs="Arial"/>
                <w:sz w:val="18"/>
                <w:szCs w:val="18"/>
              </w:rPr>
              <w:t>3</w:t>
            </w:r>
          </w:p>
        </w:tc>
      </w:tr>
      <w:tr w:rsidR="005D65C5" w:rsidRPr="007E5ABB" w14:paraId="3468A964" w14:textId="77777777" w:rsidTr="00336B42">
        <w:trPr>
          <w:trHeight w:val="186"/>
        </w:trPr>
        <w:tc>
          <w:tcPr>
            <w:tcW w:w="6805" w:type="dxa"/>
            <w:tcBorders>
              <w:right w:val="single" w:sz="4" w:space="0" w:color="auto"/>
            </w:tcBorders>
            <w:vAlign w:val="center"/>
          </w:tcPr>
          <w:p w14:paraId="72420364" w14:textId="7AA5E0AB"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Κόστη σχετιζόμενα με προγράμματα εθελούσιας αποχώρησης</w:t>
            </w:r>
          </w:p>
        </w:tc>
        <w:tc>
          <w:tcPr>
            <w:tcW w:w="1354" w:type="dxa"/>
            <w:tcBorders>
              <w:left w:val="single" w:sz="4" w:space="0" w:color="auto"/>
            </w:tcBorders>
            <w:vAlign w:val="center"/>
          </w:tcPr>
          <w:p w14:paraId="50FD4944" w14:textId="0AB47B81"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19</w:t>
            </w:r>
            <w:r w:rsidR="00454299">
              <w:rPr>
                <w:rFonts w:ascii="Arial" w:hAnsi="Arial" w:cs="Arial"/>
                <w:sz w:val="18"/>
                <w:szCs w:val="18"/>
              </w:rPr>
              <w:t>,</w:t>
            </w:r>
            <w:r>
              <w:rPr>
                <w:rFonts w:ascii="Arial" w:hAnsi="Arial" w:cs="Arial"/>
                <w:sz w:val="18"/>
                <w:szCs w:val="18"/>
              </w:rPr>
              <w:t>2</w:t>
            </w:r>
          </w:p>
        </w:tc>
        <w:tc>
          <w:tcPr>
            <w:tcW w:w="1922" w:type="dxa"/>
            <w:gridSpan w:val="2"/>
            <w:vAlign w:val="center"/>
          </w:tcPr>
          <w:p w14:paraId="1FF086B4" w14:textId="22ACB390"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12</w:t>
            </w:r>
            <w:r w:rsidR="00454299">
              <w:rPr>
                <w:rFonts w:ascii="Arial" w:hAnsi="Arial" w:cs="Arial"/>
                <w:sz w:val="18"/>
                <w:szCs w:val="18"/>
              </w:rPr>
              <w:t>,</w:t>
            </w:r>
            <w:r>
              <w:rPr>
                <w:rFonts w:ascii="Arial" w:hAnsi="Arial" w:cs="Arial"/>
                <w:sz w:val="18"/>
                <w:szCs w:val="18"/>
              </w:rPr>
              <w:t>8</w:t>
            </w:r>
          </w:p>
        </w:tc>
      </w:tr>
      <w:tr w:rsidR="005D65C5" w:rsidRPr="007E5ABB" w14:paraId="6B843942" w14:textId="77777777" w:rsidTr="00336B42">
        <w:trPr>
          <w:trHeight w:val="186"/>
        </w:trPr>
        <w:tc>
          <w:tcPr>
            <w:tcW w:w="6805" w:type="dxa"/>
            <w:tcBorders>
              <w:right w:val="single" w:sz="4" w:space="0" w:color="auto"/>
            </w:tcBorders>
            <w:vAlign w:val="center"/>
          </w:tcPr>
          <w:p w14:paraId="549DEE0A" w14:textId="572CBFB8" w:rsidR="00E820CC" w:rsidRPr="00905C5F" w:rsidRDefault="00E820CC" w:rsidP="00E820CC">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Προβλέψεις για προγράμματα καθορισμένων παροχών</w:t>
            </w:r>
            <w:r w:rsidRPr="00905C5F">
              <w:rPr>
                <w:rFonts w:ascii="Arial" w:hAnsi="Arial" w:cs="Arial"/>
                <w:sz w:val="18"/>
                <w:szCs w:val="18"/>
                <w:lang w:val="el-GR"/>
              </w:rPr>
              <w:t xml:space="preserve"> </w:t>
            </w:r>
          </w:p>
        </w:tc>
        <w:tc>
          <w:tcPr>
            <w:tcW w:w="1354" w:type="dxa"/>
            <w:tcBorders>
              <w:left w:val="single" w:sz="4" w:space="0" w:color="auto"/>
            </w:tcBorders>
            <w:vAlign w:val="center"/>
          </w:tcPr>
          <w:p w14:paraId="14D7D579" w14:textId="581E5C8E"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7834FB">
              <w:rPr>
                <w:rFonts w:ascii="Arial" w:hAnsi="Arial" w:cs="Arial"/>
                <w:sz w:val="18"/>
                <w:szCs w:val="18"/>
              </w:rPr>
              <w:t>0</w:t>
            </w:r>
            <w:r w:rsidR="00454299">
              <w:rPr>
                <w:rFonts w:ascii="Arial" w:hAnsi="Arial" w:cs="Arial"/>
                <w:sz w:val="18"/>
                <w:szCs w:val="18"/>
              </w:rPr>
              <w:t>,</w:t>
            </w:r>
            <w:r w:rsidRPr="007834FB">
              <w:rPr>
                <w:rFonts w:ascii="Arial" w:hAnsi="Arial" w:cs="Arial"/>
                <w:sz w:val="18"/>
                <w:szCs w:val="18"/>
              </w:rPr>
              <w:t>4</w:t>
            </w:r>
          </w:p>
        </w:tc>
        <w:tc>
          <w:tcPr>
            <w:tcW w:w="1922" w:type="dxa"/>
            <w:gridSpan w:val="2"/>
            <w:vAlign w:val="center"/>
          </w:tcPr>
          <w:p w14:paraId="37253E60" w14:textId="49391195"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7834FB">
              <w:rPr>
                <w:rFonts w:ascii="Arial" w:hAnsi="Arial" w:cs="Arial"/>
                <w:sz w:val="18"/>
                <w:szCs w:val="18"/>
              </w:rPr>
              <w:t>0</w:t>
            </w:r>
            <w:r w:rsidR="00454299">
              <w:rPr>
                <w:rFonts w:ascii="Arial" w:hAnsi="Arial" w:cs="Arial"/>
                <w:sz w:val="18"/>
                <w:szCs w:val="18"/>
              </w:rPr>
              <w:t>,</w:t>
            </w:r>
            <w:r w:rsidRPr="007834FB">
              <w:rPr>
                <w:rFonts w:ascii="Arial" w:hAnsi="Arial" w:cs="Arial"/>
                <w:sz w:val="18"/>
                <w:szCs w:val="18"/>
              </w:rPr>
              <w:t>5</w:t>
            </w:r>
          </w:p>
        </w:tc>
      </w:tr>
      <w:tr w:rsidR="005D65C5" w:rsidRPr="007E5ABB" w14:paraId="74473281" w14:textId="77777777" w:rsidTr="00336B42">
        <w:trPr>
          <w:trHeight w:val="186"/>
        </w:trPr>
        <w:tc>
          <w:tcPr>
            <w:tcW w:w="6805" w:type="dxa"/>
            <w:tcBorders>
              <w:right w:val="single" w:sz="4" w:space="0" w:color="auto"/>
            </w:tcBorders>
            <w:vAlign w:val="center"/>
          </w:tcPr>
          <w:p w14:paraId="4E5F771A" w14:textId="3ADC9EEE" w:rsidR="00E820CC" w:rsidRPr="007E5ABB" w:rsidRDefault="00E820CC" w:rsidP="00E820CC">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Συναλλαγματικές διαφορές</w:t>
            </w:r>
            <w:r>
              <w:rPr>
                <w:rFonts w:ascii="Arial" w:hAnsi="Arial" w:cs="Arial"/>
                <w:sz w:val="18"/>
                <w:szCs w:val="18"/>
              </w:rPr>
              <w:t>,</w:t>
            </w:r>
            <w:r w:rsidRPr="007E5ABB">
              <w:rPr>
                <w:rFonts w:ascii="Arial" w:hAnsi="Arial" w:cs="Arial"/>
                <w:sz w:val="18"/>
                <w:szCs w:val="18"/>
              </w:rPr>
              <w:t xml:space="preserve"> καθαρές</w:t>
            </w:r>
          </w:p>
        </w:tc>
        <w:tc>
          <w:tcPr>
            <w:tcW w:w="1354" w:type="dxa"/>
            <w:tcBorders>
              <w:left w:val="single" w:sz="4" w:space="0" w:color="auto"/>
            </w:tcBorders>
            <w:vAlign w:val="center"/>
          </w:tcPr>
          <w:p w14:paraId="679291EC" w14:textId="7F363FED"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2</w:t>
            </w:r>
          </w:p>
        </w:tc>
        <w:tc>
          <w:tcPr>
            <w:tcW w:w="1922" w:type="dxa"/>
            <w:gridSpan w:val="2"/>
            <w:vAlign w:val="center"/>
          </w:tcPr>
          <w:p w14:paraId="7CF4F953" w14:textId="1B824824"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1)</w:t>
            </w:r>
          </w:p>
        </w:tc>
      </w:tr>
      <w:tr w:rsidR="005D65C5" w:rsidRPr="007E5ABB" w14:paraId="20D8562E" w14:textId="77777777" w:rsidTr="00336B42">
        <w:trPr>
          <w:trHeight w:val="186"/>
        </w:trPr>
        <w:tc>
          <w:tcPr>
            <w:tcW w:w="6805" w:type="dxa"/>
            <w:tcBorders>
              <w:right w:val="single" w:sz="4" w:space="0" w:color="auto"/>
            </w:tcBorders>
            <w:vAlign w:val="center"/>
          </w:tcPr>
          <w:p w14:paraId="04CB2D13" w14:textId="146689DB"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(Κέρδη) / ζημιές από συμμετοχές και λοιπά χρηματοοικονομικά περιουσιακά στοιχεία - Απομειώσεις</w:t>
            </w:r>
          </w:p>
        </w:tc>
        <w:tc>
          <w:tcPr>
            <w:tcW w:w="1354" w:type="dxa"/>
            <w:tcBorders>
              <w:left w:val="single" w:sz="4" w:space="0" w:color="auto"/>
            </w:tcBorders>
            <w:vAlign w:val="center"/>
          </w:tcPr>
          <w:p w14:paraId="6CD1FA32" w14:textId="50A6AE82" w:rsidR="00E820CC" w:rsidRPr="007E5ABB" w:rsidRDefault="00E820CC" w:rsidP="00E820CC">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p>
        </w:tc>
        <w:tc>
          <w:tcPr>
            <w:tcW w:w="1922" w:type="dxa"/>
            <w:gridSpan w:val="2"/>
            <w:vAlign w:val="center"/>
          </w:tcPr>
          <w:p w14:paraId="4E784068" w14:textId="25604397" w:rsidR="00E820CC" w:rsidRPr="007E5ABB" w:rsidRDefault="00E820CC" w:rsidP="00E820CC">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3)</w:t>
            </w:r>
          </w:p>
        </w:tc>
      </w:tr>
      <w:tr w:rsidR="0046090F" w:rsidRPr="007E5ABB" w14:paraId="68246D16" w14:textId="77777777" w:rsidTr="00336B42">
        <w:trPr>
          <w:trHeight w:val="41"/>
        </w:trPr>
        <w:tc>
          <w:tcPr>
            <w:tcW w:w="6805" w:type="dxa"/>
            <w:tcBorders>
              <w:bottom w:val="single" w:sz="4" w:space="0" w:color="auto"/>
              <w:right w:val="single" w:sz="4" w:space="0" w:color="auto"/>
            </w:tcBorders>
            <w:vAlign w:val="center"/>
          </w:tcPr>
          <w:p w14:paraId="508BADAF" w14:textId="3CC344CA" w:rsidR="00E820CC" w:rsidRPr="007E5ABB" w:rsidRDefault="00E820CC" w:rsidP="00E820CC">
            <w:pPr>
              <w:pStyle w:val="ColorfulList-Accent11"/>
              <w:tabs>
                <w:tab w:val="left" w:pos="0"/>
                <w:tab w:val="left" w:pos="284"/>
              </w:tabs>
              <w:ind w:left="0" w:right="-90"/>
              <w:rPr>
                <w:rFonts w:ascii="Arial" w:hAnsi="Arial" w:cs="Arial"/>
                <w:b/>
                <w:i/>
                <w:sz w:val="18"/>
                <w:szCs w:val="18"/>
              </w:rPr>
            </w:pPr>
            <w:r w:rsidRPr="007E5ABB">
              <w:rPr>
                <w:rFonts w:ascii="Arial" w:hAnsi="Arial" w:cs="Arial"/>
                <w:sz w:val="18"/>
                <w:szCs w:val="18"/>
                <w:lang w:val="el-GR"/>
              </w:rPr>
              <w:t>Χρηματοοικονομικά έξοδα, καθαρά</w:t>
            </w:r>
          </w:p>
        </w:tc>
        <w:tc>
          <w:tcPr>
            <w:tcW w:w="1354" w:type="dxa"/>
            <w:tcBorders>
              <w:left w:val="single" w:sz="4" w:space="0" w:color="auto"/>
              <w:bottom w:val="single" w:sz="4" w:space="0" w:color="auto"/>
            </w:tcBorders>
            <w:vAlign w:val="center"/>
          </w:tcPr>
          <w:p w14:paraId="08603B7B" w14:textId="1ECE5265"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7834FB">
              <w:rPr>
                <w:rFonts w:ascii="Arial" w:hAnsi="Arial" w:cs="Arial"/>
                <w:sz w:val="18"/>
                <w:szCs w:val="18"/>
              </w:rPr>
              <w:t>5</w:t>
            </w:r>
            <w:r w:rsidR="00454299">
              <w:rPr>
                <w:rFonts w:ascii="Arial" w:hAnsi="Arial" w:cs="Arial"/>
                <w:sz w:val="18"/>
                <w:szCs w:val="18"/>
              </w:rPr>
              <w:t>,</w:t>
            </w:r>
            <w:r w:rsidRPr="007834FB">
              <w:rPr>
                <w:rFonts w:ascii="Arial" w:hAnsi="Arial" w:cs="Arial"/>
                <w:sz w:val="18"/>
                <w:szCs w:val="18"/>
              </w:rPr>
              <w:t>6</w:t>
            </w:r>
          </w:p>
        </w:tc>
        <w:tc>
          <w:tcPr>
            <w:tcW w:w="1922" w:type="dxa"/>
            <w:gridSpan w:val="2"/>
            <w:tcBorders>
              <w:bottom w:val="single" w:sz="4" w:space="0" w:color="auto"/>
            </w:tcBorders>
            <w:vAlign w:val="center"/>
          </w:tcPr>
          <w:p w14:paraId="6ED686BE" w14:textId="48F4C6D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7834FB">
              <w:rPr>
                <w:rFonts w:ascii="Arial" w:hAnsi="Arial" w:cs="Arial"/>
                <w:sz w:val="18"/>
                <w:szCs w:val="18"/>
              </w:rPr>
              <w:t>2</w:t>
            </w:r>
            <w:r w:rsidR="00454299">
              <w:rPr>
                <w:rFonts w:ascii="Arial" w:hAnsi="Arial" w:cs="Arial"/>
                <w:sz w:val="18"/>
                <w:szCs w:val="18"/>
              </w:rPr>
              <w:t>,</w:t>
            </w:r>
            <w:r w:rsidRPr="007834FB">
              <w:rPr>
                <w:rFonts w:ascii="Arial" w:hAnsi="Arial" w:cs="Arial"/>
                <w:sz w:val="18"/>
                <w:szCs w:val="18"/>
              </w:rPr>
              <w:t>1</w:t>
            </w:r>
          </w:p>
        </w:tc>
      </w:tr>
      <w:tr w:rsidR="005D65C5" w:rsidRPr="007E5ABB" w14:paraId="531ABA59" w14:textId="77777777" w:rsidTr="00336B42">
        <w:trPr>
          <w:trHeight w:val="234"/>
        </w:trPr>
        <w:tc>
          <w:tcPr>
            <w:tcW w:w="6805" w:type="dxa"/>
            <w:tcBorders>
              <w:top w:val="single" w:sz="4" w:space="0" w:color="auto"/>
              <w:bottom w:val="single" w:sz="4" w:space="0" w:color="auto"/>
              <w:right w:val="single" w:sz="4" w:space="0" w:color="auto"/>
            </w:tcBorders>
            <w:vAlign w:val="center"/>
          </w:tcPr>
          <w:p w14:paraId="04A61B13" w14:textId="2A32D5FF" w:rsidR="00E820CC" w:rsidRPr="007E5ABB" w:rsidRDefault="00E820CC" w:rsidP="00E820CC">
            <w:pPr>
              <w:pStyle w:val="ColorfulList-Accent11"/>
              <w:tabs>
                <w:tab w:val="left" w:pos="0"/>
                <w:tab w:val="left" w:pos="284"/>
              </w:tabs>
              <w:ind w:left="0" w:right="-90"/>
              <w:rPr>
                <w:rFonts w:ascii="Arial" w:hAnsi="Arial" w:cs="Arial"/>
                <w:i/>
                <w:sz w:val="18"/>
                <w:szCs w:val="18"/>
                <w:lang w:val="el-GR"/>
              </w:rPr>
            </w:pPr>
            <w:r w:rsidRPr="007E5ABB">
              <w:rPr>
                <w:rFonts w:ascii="Arial" w:hAnsi="Arial" w:cs="Arial"/>
                <w:b/>
                <w:bCs/>
                <w:i/>
                <w:iCs/>
                <w:sz w:val="18"/>
                <w:szCs w:val="18"/>
                <w:lang w:val="el-GR"/>
              </w:rPr>
              <w:t>Προσαρμογές για μεταβολές λογαριασμών κεφαλαίου κίνησης:</w:t>
            </w:r>
          </w:p>
        </w:tc>
        <w:tc>
          <w:tcPr>
            <w:tcW w:w="1354" w:type="dxa"/>
            <w:tcBorders>
              <w:top w:val="single" w:sz="4" w:space="0" w:color="auto"/>
              <w:left w:val="single" w:sz="4" w:space="0" w:color="auto"/>
              <w:bottom w:val="single" w:sz="4" w:space="0" w:color="auto"/>
            </w:tcBorders>
            <w:vAlign w:val="center"/>
          </w:tcPr>
          <w:p w14:paraId="53442FE9" w14:textId="6584A0CA"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b/>
                <w:i/>
                <w:sz w:val="18"/>
                <w:szCs w:val="18"/>
              </w:rPr>
              <w:t>(</w:t>
            </w:r>
            <w:r w:rsidRPr="00666B0E">
              <w:rPr>
                <w:rFonts w:ascii="Arial" w:hAnsi="Arial" w:cs="Arial"/>
                <w:b/>
                <w:i/>
                <w:sz w:val="18"/>
                <w:szCs w:val="18"/>
              </w:rPr>
              <w:t>97</w:t>
            </w:r>
            <w:r w:rsidR="00454299">
              <w:rPr>
                <w:rFonts w:ascii="Arial" w:hAnsi="Arial" w:cs="Arial"/>
                <w:b/>
                <w:i/>
                <w:sz w:val="18"/>
                <w:szCs w:val="18"/>
              </w:rPr>
              <w:t>,</w:t>
            </w:r>
            <w:r w:rsidRPr="00666B0E">
              <w:rPr>
                <w:rFonts w:ascii="Arial" w:hAnsi="Arial" w:cs="Arial"/>
                <w:b/>
                <w:i/>
                <w:sz w:val="18"/>
                <w:szCs w:val="18"/>
              </w:rPr>
              <w:t>8</w:t>
            </w:r>
            <w:r>
              <w:rPr>
                <w:rFonts w:ascii="Arial" w:hAnsi="Arial" w:cs="Arial"/>
                <w:b/>
                <w:i/>
                <w:sz w:val="18"/>
                <w:szCs w:val="18"/>
              </w:rPr>
              <w:t>)</w:t>
            </w:r>
          </w:p>
        </w:tc>
        <w:tc>
          <w:tcPr>
            <w:tcW w:w="1922" w:type="dxa"/>
            <w:gridSpan w:val="2"/>
            <w:tcBorders>
              <w:top w:val="single" w:sz="4" w:space="0" w:color="auto"/>
              <w:bottom w:val="single" w:sz="4" w:space="0" w:color="auto"/>
            </w:tcBorders>
            <w:vAlign w:val="center"/>
          </w:tcPr>
          <w:p w14:paraId="79EEDAED" w14:textId="60E8B060"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b/>
                <w:i/>
                <w:sz w:val="18"/>
                <w:szCs w:val="18"/>
              </w:rPr>
              <w:t>(</w:t>
            </w:r>
            <w:r w:rsidRPr="00666B0E">
              <w:rPr>
                <w:rFonts w:ascii="Arial" w:hAnsi="Arial" w:cs="Arial"/>
                <w:b/>
                <w:i/>
                <w:sz w:val="18"/>
                <w:szCs w:val="18"/>
              </w:rPr>
              <w:t>101</w:t>
            </w:r>
            <w:r w:rsidR="00454299">
              <w:rPr>
                <w:rFonts w:ascii="Arial" w:hAnsi="Arial" w:cs="Arial"/>
                <w:b/>
                <w:i/>
                <w:sz w:val="18"/>
                <w:szCs w:val="18"/>
              </w:rPr>
              <w:t>,</w:t>
            </w:r>
            <w:r w:rsidRPr="00666B0E">
              <w:rPr>
                <w:rFonts w:ascii="Arial" w:hAnsi="Arial" w:cs="Arial"/>
                <w:b/>
                <w:i/>
                <w:sz w:val="18"/>
                <w:szCs w:val="18"/>
              </w:rPr>
              <w:t>4</w:t>
            </w:r>
            <w:r>
              <w:rPr>
                <w:rFonts w:ascii="Arial" w:hAnsi="Arial" w:cs="Arial"/>
                <w:b/>
                <w:i/>
                <w:sz w:val="18"/>
                <w:szCs w:val="18"/>
              </w:rPr>
              <w:t>)</w:t>
            </w:r>
          </w:p>
        </w:tc>
      </w:tr>
      <w:tr w:rsidR="0046090F" w:rsidRPr="007E5ABB" w14:paraId="7481EA17" w14:textId="77777777" w:rsidTr="00336B42">
        <w:trPr>
          <w:trHeight w:val="186"/>
        </w:trPr>
        <w:tc>
          <w:tcPr>
            <w:tcW w:w="6805" w:type="dxa"/>
            <w:tcBorders>
              <w:top w:val="single" w:sz="4" w:space="0" w:color="auto"/>
              <w:right w:val="single" w:sz="4" w:space="0" w:color="auto"/>
            </w:tcBorders>
            <w:vAlign w:val="center"/>
          </w:tcPr>
          <w:p w14:paraId="5C8F6561" w14:textId="7B485E97" w:rsidR="00E820CC" w:rsidRPr="007E5ABB" w:rsidRDefault="00E820CC" w:rsidP="00E820CC">
            <w:pPr>
              <w:pStyle w:val="ColorfulList-Accent11"/>
              <w:tabs>
                <w:tab w:val="left" w:pos="0"/>
                <w:tab w:val="left" w:pos="284"/>
              </w:tabs>
              <w:ind w:left="0" w:right="-90"/>
              <w:rPr>
                <w:rFonts w:ascii="Arial" w:hAnsi="Arial" w:cs="Arial"/>
                <w:i/>
                <w:sz w:val="18"/>
                <w:szCs w:val="18"/>
              </w:rPr>
            </w:pPr>
            <w:r w:rsidRPr="007E5ABB">
              <w:rPr>
                <w:rFonts w:ascii="Arial" w:hAnsi="Arial" w:cs="Arial"/>
                <w:sz w:val="18"/>
                <w:szCs w:val="18"/>
              </w:rPr>
              <w:t>Μείωση / (αύξηση) αποθεμάτων</w:t>
            </w:r>
          </w:p>
        </w:tc>
        <w:tc>
          <w:tcPr>
            <w:tcW w:w="1354" w:type="dxa"/>
            <w:tcBorders>
              <w:top w:val="single" w:sz="4" w:space="0" w:color="auto"/>
              <w:left w:val="single" w:sz="4" w:space="0" w:color="auto"/>
            </w:tcBorders>
            <w:vAlign w:val="center"/>
          </w:tcPr>
          <w:p w14:paraId="1A608880" w14:textId="329F573C"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sidRPr="007834FB">
              <w:rPr>
                <w:rFonts w:ascii="Arial" w:hAnsi="Arial" w:cs="Arial"/>
                <w:sz w:val="18"/>
                <w:szCs w:val="18"/>
              </w:rPr>
              <w:t>(3</w:t>
            </w:r>
            <w:r w:rsidR="00454299">
              <w:rPr>
                <w:rFonts w:ascii="Arial" w:hAnsi="Arial" w:cs="Arial"/>
                <w:sz w:val="18"/>
                <w:szCs w:val="18"/>
              </w:rPr>
              <w:t>,</w:t>
            </w:r>
            <w:r w:rsidRPr="007834FB">
              <w:rPr>
                <w:rFonts w:ascii="Arial" w:hAnsi="Arial" w:cs="Arial"/>
                <w:sz w:val="18"/>
                <w:szCs w:val="18"/>
              </w:rPr>
              <w:t>9)</w:t>
            </w:r>
          </w:p>
        </w:tc>
        <w:tc>
          <w:tcPr>
            <w:tcW w:w="1922" w:type="dxa"/>
            <w:gridSpan w:val="2"/>
            <w:tcBorders>
              <w:top w:val="single" w:sz="4" w:space="0" w:color="auto"/>
            </w:tcBorders>
            <w:vAlign w:val="center"/>
          </w:tcPr>
          <w:p w14:paraId="04615A77" w14:textId="7B3DA9EB"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sidRPr="007834FB">
              <w:rPr>
                <w:rFonts w:ascii="Arial" w:hAnsi="Arial" w:cs="Arial"/>
                <w:sz w:val="18"/>
                <w:szCs w:val="18"/>
              </w:rPr>
              <w:t>(5</w:t>
            </w:r>
            <w:r w:rsidR="00454299">
              <w:rPr>
                <w:rFonts w:ascii="Arial" w:hAnsi="Arial" w:cs="Arial"/>
                <w:sz w:val="18"/>
                <w:szCs w:val="18"/>
              </w:rPr>
              <w:t>,</w:t>
            </w:r>
            <w:r w:rsidRPr="007834FB">
              <w:rPr>
                <w:rFonts w:ascii="Arial" w:hAnsi="Arial" w:cs="Arial"/>
                <w:sz w:val="18"/>
                <w:szCs w:val="18"/>
              </w:rPr>
              <w:t>1)</w:t>
            </w:r>
          </w:p>
        </w:tc>
      </w:tr>
      <w:tr w:rsidR="005D65C5" w:rsidRPr="007E5ABB" w14:paraId="404E73B5" w14:textId="77777777" w:rsidTr="00336B42">
        <w:trPr>
          <w:trHeight w:val="186"/>
        </w:trPr>
        <w:tc>
          <w:tcPr>
            <w:tcW w:w="6805" w:type="dxa"/>
            <w:tcBorders>
              <w:right w:val="single" w:sz="4" w:space="0" w:color="auto"/>
            </w:tcBorders>
            <w:vAlign w:val="center"/>
          </w:tcPr>
          <w:p w14:paraId="7AABE3A3" w14:textId="09080291" w:rsidR="00E820CC" w:rsidRPr="007E5ABB" w:rsidRDefault="00E820CC" w:rsidP="00E820CC">
            <w:pPr>
              <w:pStyle w:val="ColorfulList-Accent11"/>
              <w:tabs>
                <w:tab w:val="left" w:pos="0"/>
                <w:tab w:val="left" w:pos="284"/>
              </w:tabs>
              <w:ind w:left="0" w:right="-90"/>
              <w:rPr>
                <w:rFonts w:ascii="Arial" w:hAnsi="Arial" w:cs="Arial"/>
                <w:i/>
                <w:sz w:val="18"/>
                <w:szCs w:val="18"/>
              </w:rPr>
            </w:pPr>
            <w:r w:rsidRPr="007E5ABB">
              <w:rPr>
                <w:rFonts w:ascii="Arial" w:hAnsi="Arial" w:cs="Arial"/>
                <w:sz w:val="18"/>
                <w:szCs w:val="18"/>
              </w:rPr>
              <w:t>(</w:t>
            </w:r>
            <w:r w:rsidRPr="007E5ABB">
              <w:rPr>
                <w:rFonts w:ascii="Arial" w:hAnsi="Arial" w:cs="Arial"/>
                <w:sz w:val="18"/>
                <w:szCs w:val="18"/>
                <w:lang w:val="el-GR"/>
              </w:rPr>
              <w:t>Α</w:t>
            </w:r>
            <w:r w:rsidRPr="007E5ABB">
              <w:rPr>
                <w:rFonts w:ascii="Arial" w:hAnsi="Arial" w:cs="Arial"/>
                <w:sz w:val="18"/>
                <w:szCs w:val="18"/>
              </w:rPr>
              <w:t>ύξηση) απαιτήσεων</w:t>
            </w:r>
          </w:p>
        </w:tc>
        <w:tc>
          <w:tcPr>
            <w:tcW w:w="1354" w:type="dxa"/>
            <w:tcBorders>
              <w:left w:val="single" w:sz="4" w:space="0" w:color="auto"/>
            </w:tcBorders>
            <w:vAlign w:val="center"/>
          </w:tcPr>
          <w:p w14:paraId="578E88F1" w14:textId="031F4F3E"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sidRPr="007834FB">
              <w:rPr>
                <w:rFonts w:ascii="Arial" w:hAnsi="Arial" w:cs="Arial"/>
                <w:i/>
                <w:sz w:val="18"/>
                <w:szCs w:val="18"/>
              </w:rPr>
              <w:t>(134</w:t>
            </w:r>
            <w:r w:rsidR="00454299">
              <w:rPr>
                <w:rFonts w:ascii="Arial" w:hAnsi="Arial" w:cs="Arial"/>
                <w:i/>
                <w:sz w:val="18"/>
                <w:szCs w:val="18"/>
              </w:rPr>
              <w:t>,</w:t>
            </w:r>
            <w:r w:rsidRPr="007834FB">
              <w:rPr>
                <w:rFonts w:ascii="Arial" w:hAnsi="Arial" w:cs="Arial"/>
                <w:i/>
                <w:sz w:val="18"/>
                <w:szCs w:val="18"/>
              </w:rPr>
              <w:t>3)</w:t>
            </w:r>
          </w:p>
        </w:tc>
        <w:tc>
          <w:tcPr>
            <w:tcW w:w="1922" w:type="dxa"/>
            <w:gridSpan w:val="2"/>
            <w:vAlign w:val="center"/>
          </w:tcPr>
          <w:p w14:paraId="12286384" w14:textId="350E1C8D"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sidRPr="007834FB">
              <w:rPr>
                <w:rFonts w:ascii="Arial" w:hAnsi="Arial" w:cs="Arial"/>
                <w:i/>
                <w:sz w:val="18"/>
                <w:szCs w:val="18"/>
              </w:rPr>
              <w:t>(78</w:t>
            </w:r>
            <w:r w:rsidR="00454299">
              <w:rPr>
                <w:rFonts w:ascii="Arial" w:hAnsi="Arial" w:cs="Arial"/>
                <w:i/>
                <w:sz w:val="18"/>
                <w:szCs w:val="18"/>
              </w:rPr>
              <w:t>,</w:t>
            </w:r>
            <w:r w:rsidRPr="007834FB">
              <w:rPr>
                <w:rFonts w:ascii="Arial" w:hAnsi="Arial" w:cs="Arial"/>
                <w:i/>
                <w:sz w:val="18"/>
                <w:szCs w:val="18"/>
              </w:rPr>
              <w:t>6)</w:t>
            </w:r>
          </w:p>
        </w:tc>
      </w:tr>
      <w:tr w:rsidR="005D65C5" w:rsidRPr="007E5ABB" w14:paraId="21001686" w14:textId="77777777" w:rsidTr="00336B42">
        <w:trPr>
          <w:trHeight w:val="186"/>
        </w:trPr>
        <w:tc>
          <w:tcPr>
            <w:tcW w:w="6805" w:type="dxa"/>
            <w:tcBorders>
              <w:right w:val="single" w:sz="4" w:space="0" w:color="auto"/>
            </w:tcBorders>
            <w:vAlign w:val="center"/>
          </w:tcPr>
          <w:p w14:paraId="512231F5" w14:textId="1C327B5E"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(Μείωση) / αύξηση υποχρεώσεων (πλην δανεισμού)</w:t>
            </w:r>
          </w:p>
        </w:tc>
        <w:tc>
          <w:tcPr>
            <w:tcW w:w="1354" w:type="dxa"/>
            <w:tcBorders>
              <w:left w:val="single" w:sz="4" w:space="0" w:color="auto"/>
            </w:tcBorders>
            <w:vAlign w:val="center"/>
          </w:tcPr>
          <w:p w14:paraId="1ABA1471" w14:textId="74F9CA0E"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sidRPr="007834FB">
              <w:rPr>
                <w:rFonts w:ascii="Arial" w:hAnsi="Arial" w:cs="Arial"/>
                <w:i/>
                <w:sz w:val="18"/>
                <w:szCs w:val="18"/>
              </w:rPr>
              <w:t>40</w:t>
            </w:r>
            <w:r w:rsidR="00454299">
              <w:rPr>
                <w:rFonts w:ascii="Arial" w:hAnsi="Arial" w:cs="Arial"/>
                <w:i/>
                <w:sz w:val="18"/>
                <w:szCs w:val="18"/>
              </w:rPr>
              <w:t>,</w:t>
            </w:r>
            <w:r w:rsidRPr="007834FB">
              <w:rPr>
                <w:rFonts w:ascii="Arial" w:hAnsi="Arial" w:cs="Arial"/>
                <w:i/>
                <w:sz w:val="18"/>
                <w:szCs w:val="18"/>
              </w:rPr>
              <w:t>4</w:t>
            </w:r>
          </w:p>
        </w:tc>
        <w:tc>
          <w:tcPr>
            <w:tcW w:w="1922" w:type="dxa"/>
            <w:gridSpan w:val="2"/>
            <w:vAlign w:val="center"/>
          </w:tcPr>
          <w:p w14:paraId="6FAEE181" w14:textId="23B87CFD" w:rsidR="00E820CC" w:rsidRPr="00C13168" w:rsidRDefault="00C13168" w:rsidP="00E820CC">
            <w:pPr>
              <w:pStyle w:val="ColorfulList-Accent11"/>
              <w:tabs>
                <w:tab w:val="left" w:pos="0"/>
                <w:tab w:val="left" w:pos="284"/>
              </w:tabs>
              <w:ind w:left="0" w:right="-90"/>
              <w:jc w:val="center"/>
              <w:rPr>
                <w:rFonts w:ascii="Arial" w:hAnsi="Arial" w:cs="Arial"/>
                <w:b/>
                <w:i/>
                <w:color w:val="FF0000"/>
                <w:sz w:val="18"/>
                <w:szCs w:val="18"/>
                <w:lang w:val="el-GR"/>
              </w:rPr>
            </w:pPr>
            <w:r>
              <w:rPr>
                <w:rFonts w:ascii="Arial" w:hAnsi="Arial" w:cs="Arial"/>
                <w:i/>
                <w:sz w:val="18"/>
                <w:szCs w:val="18"/>
                <w:lang w:val="el-GR"/>
              </w:rPr>
              <w:t>(</w:t>
            </w:r>
            <w:r w:rsidR="00E820CC" w:rsidRPr="007834FB">
              <w:rPr>
                <w:rFonts w:ascii="Arial" w:hAnsi="Arial" w:cs="Arial"/>
                <w:i/>
                <w:sz w:val="18"/>
                <w:szCs w:val="18"/>
              </w:rPr>
              <w:t>17</w:t>
            </w:r>
            <w:r w:rsidR="00454299">
              <w:rPr>
                <w:rFonts w:ascii="Arial" w:hAnsi="Arial" w:cs="Arial"/>
                <w:i/>
                <w:sz w:val="18"/>
                <w:szCs w:val="18"/>
              </w:rPr>
              <w:t>,</w:t>
            </w:r>
            <w:r w:rsidR="00E820CC" w:rsidRPr="007834FB">
              <w:rPr>
                <w:rFonts w:ascii="Arial" w:hAnsi="Arial" w:cs="Arial"/>
                <w:i/>
                <w:sz w:val="18"/>
                <w:szCs w:val="18"/>
              </w:rPr>
              <w:t>7</w:t>
            </w:r>
            <w:r>
              <w:rPr>
                <w:rFonts w:ascii="Arial" w:hAnsi="Arial" w:cs="Arial"/>
                <w:i/>
                <w:sz w:val="18"/>
                <w:szCs w:val="18"/>
                <w:lang w:val="el-GR"/>
              </w:rPr>
              <w:t>)</w:t>
            </w:r>
          </w:p>
        </w:tc>
      </w:tr>
      <w:tr w:rsidR="005D65C5" w:rsidRPr="007E5ABB" w14:paraId="64C7BB7A" w14:textId="77777777" w:rsidTr="00336B42">
        <w:trPr>
          <w:trHeight w:val="186"/>
        </w:trPr>
        <w:tc>
          <w:tcPr>
            <w:tcW w:w="6805" w:type="dxa"/>
            <w:tcBorders>
              <w:right w:val="single" w:sz="4" w:space="0" w:color="auto"/>
            </w:tcBorders>
            <w:vAlign w:val="center"/>
          </w:tcPr>
          <w:p w14:paraId="347F47F4" w14:textId="57B38FA0" w:rsidR="00E820CC" w:rsidRPr="007E5ABB" w:rsidRDefault="00E820CC" w:rsidP="00E820CC">
            <w:pPr>
              <w:ind w:right="7"/>
              <w:rPr>
                <w:rFonts w:ascii="Arial" w:hAnsi="Arial" w:cs="Arial"/>
                <w:sz w:val="18"/>
                <w:szCs w:val="18"/>
              </w:rPr>
            </w:pPr>
            <w:r w:rsidRPr="007E5ABB">
              <w:rPr>
                <w:rFonts w:ascii="Arial" w:hAnsi="Arial" w:cs="Arial"/>
                <w:sz w:val="18"/>
                <w:szCs w:val="18"/>
              </w:rPr>
              <w:t>Καταβολές προγραμμάτων εθελούσιας αποχώρησης</w:t>
            </w:r>
          </w:p>
        </w:tc>
        <w:tc>
          <w:tcPr>
            <w:tcW w:w="1354" w:type="dxa"/>
            <w:tcBorders>
              <w:left w:val="single" w:sz="4" w:space="0" w:color="auto"/>
            </w:tcBorders>
            <w:vAlign w:val="center"/>
          </w:tcPr>
          <w:p w14:paraId="3AE31133" w14:textId="3A3C4F56"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(12</w:t>
            </w:r>
            <w:r w:rsidR="00454299">
              <w:rPr>
                <w:rFonts w:ascii="Arial" w:hAnsi="Arial" w:cs="Arial"/>
                <w:sz w:val="18"/>
                <w:szCs w:val="18"/>
              </w:rPr>
              <w:t>,</w:t>
            </w:r>
            <w:r>
              <w:rPr>
                <w:rFonts w:ascii="Arial" w:hAnsi="Arial" w:cs="Arial"/>
                <w:sz w:val="18"/>
                <w:szCs w:val="18"/>
              </w:rPr>
              <w:t>8)</w:t>
            </w:r>
          </w:p>
        </w:tc>
        <w:tc>
          <w:tcPr>
            <w:tcW w:w="1922" w:type="dxa"/>
            <w:gridSpan w:val="2"/>
            <w:vAlign w:val="center"/>
          </w:tcPr>
          <w:p w14:paraId="34179C3B" w14:textId="779A567C"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(11</w:t>
            </w:r>
            <w:r w:rsidR="00454299">
              <w:rPr>
                <w:rFonts w:ascii="Arial" w:hAnsi="Arial" w:cs="Arial"/>
                <w:sz w:val="18"/>
                <w:szCs w:val="18"/>
              </w:rPr>
              <w:t>,</w:t>
            </w:r>
            <w:r>
              <w:rPr>
                <w:rFonts w:ascii="Arial" w:hAnsi="Arial" w:cs="Arial"/>
                <w:sz w:val="18"/>
                <w:szCs w:val="18"/>
              </w:rPr>
              <w:t>1)</w:t>
            </w:r>
          </w:p>
        </w:tc>
      </w:tr>
      <w:tr w:rsidR="005D65C5" w:rsidRPr="007E5ABB" w14:paraId="3187799E" w14:textId="77777777" w:rsidTr="00336B42">
        <w:trPr>
          <w:trHeight w:val="186"/>
        </w:trPr>
        <w:tc>
          <w:tcPr>
            <w:tcW w:w="6805" w:type="dxa"/>
            <w:tcBorders>
              <w:right w:val="single" w:sz="4" w:space="0" w:color="auto"/>
            </w:tcBorders>
            <w:vAlign w:val="center"/>
          </w:tcPr>
          <w:p w14:paraId="645DE66E" w14:textId="1E99DC19"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1354" w:type="dxa"/>
            <w:tcBorders>
              <w:left w:val="single" w:sz="4" w:space="0" w:color="auto"/>
            </w:tcBorders>
            <w:vAlign w:val="center"/>
          </w:tcPr>
          <w:p w14:paraId="3051D7EE" w14:textId="297B8E72"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3)</w:t>
            </w:r>
          </w:p>
        </w:tc>
        <w:tc>
          <w:tcPr>
            <w:tcW w:w="1922" w:type="dxa"/>
            <w:gridSpan w:val="2"/>
            <w:vAlign w:val="center"/>
          </w:tcPr>
          <w:p w14:paraId="4ED58539" w14:textId="219C680C"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3)</w:t>
            </w:r>
          </w:p>
        </w:tc>
      </w:tr>
      <w:tr w:rsidR="005D65C5" w:rsidRPr="007E5ABB" w14:paraId="365C9FFC" w14:textId="77777777" w:rsidTr="00336B42">
        <w:trPr>
          <w:trHeight w:val="186"/>
        </w:trPr>
        <w:tc>
          <w:tcPr>
            <w:tcW w:w="6805" w:type="dxa"/>
            <w:tcBorders>
              <w:right w:val="single" w:sz="4" w:space="0" w:color="auto"/>
            </w:tcBorders>
            <w:vAlign w:val="center"/>
          </w:tcPr>
          <w:p w14:paraId="5139843E" w14:textId="0F9D5EF0"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Χρεωστικοί τόκοι και συναφή έξοδα καταβεβλημένα (πλην μισθώσεων)</w:t>
            </w:r>
          </w:p>
        </w:tc>
        <w:tc>
          <w:tcPr>
            <w:tcW w:w="1354" w:type="dxa"/>
            <w:tcBorders>
              <w:left w:val="single" w:sz="4" w:space="0" w:color="auto"/>
            </w:tcBorders>
            <w:vAlign w:val="center"/>
          </w:tcPr>
          <w:p w14:paraId="10B671BE" w14:textId="0D5ED1B5"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(3</w:t>
            </w:r>
            <w:r w:rsidR="00454299">
              <w:rPr>
                <w:rFonts w:ascii="Arial" w:hAnsi="Arial" w:cs="Arial"/>
                <w:sz w:val="18"/>
                <w:szCs w:val="18"/>
              </w:rPr>
              <w:t>,</w:t>
            </w:r>
            <w:r>
              <w:rPr>
                <w:rFonts w:ascii="Arial" w:hAnsi="Arial" w:cs="Arial"/>
                <w:sz w:val="18"/>
                <w:szCs w:val="18"/>
              </w:rPr>
              <w:t>3)</w:t>
            </w:r>
          </w:p>
        </w:tc>
        <w:tc>
          <w:tcPr>
            <w:tcW w:w="1922" w:type="dxa"/>
            <w:gridSpan w:val="2"/>
            <w:vAlign w:val="center"/>
          </w:tcPr>
          <w:p w14:paraId="42364138" w14:textId="516D5FCB"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(3</w:t>
            </w:r>
            <w:r w:rsidR="00454299">
              <w:rPr>
                <w:rFonts w:ascii="Arial" w:hAnsi="Arial" w:cs="Arial"/>
                <w:sz w:val="18"/>
                <w:szCs w:val="18"/>
              </w:rPr>
              <w:t>,</w:t>
            </w:r>
            <w:r>
              <w:rPr>
                <w:rFonts w:ascii="Arial" w:hAnsi="Arial" w:cs="Arial"/>
                <w:sz w:val="18"/>
                <w:szCs w:val="18"/>
              </w:rPr>
              <w:t>0)</w:t>
            </w:r>
          </w:p>
        </w:tc>
      </w:tr>
      <w:tr w:rsidR="005D65C5" w:rsidRPr="007E5ABB" w14:paraId="3AABAD4B" w14:textId="77777777" w:rsidTr="00336B42">
        <w:trPr>
          <w:trHeight w:val="186"/>
        </w:trPr>
        <w:tc>
          <w:tcPr>
            <w:tcW w:w="6805" w:type="dxa"/>
            <w:tcBorders>
              <w:right w:val="single" w:sz="4" w:space="0" w:color="auto"/>
            </w:tcBorders>
            <w:vAlign w:val="center"/>
          </w:tcPr>
          <w:p w14:paraId="45A7672A" w14:textId="234FC4FA" w:rsidR="00E820CC" w:rsidRPr="007E5ABB" w:rsidRDefault="00E820CC" w:rsidP="00E820CC">
            <w:pPr>
              <w:pStyle w:val="ColorfulList-Accent11"/>
              <w:tabs>
                <w:tab w:val="left" w:pos="0"/>
                <w:tab w:val="left" w:pos="284"/>
              </w:tabs>
              <w:ind w:left="0" w:right="-90"/>
              <w:rPr>
                <w:rFonts w:ascii="Arial" w:hAnsi="Arial" w:cs="Arial"/>
                <w:sz w:val="18"/>
                <w:szCs w:val="18"/>
              </w:rPr>
            </w:pPr>
            <w:r w:rsidRPr="007E5ABB">
              <w:rPr>
                <w:rFonts w:ascii="Arial" w:hAnsi="Arial" w:cs="Arial"/>
                <w:sz w:val="18"/>
                <w:szCs w:val="18"/>
              </w:rPr>
              <w:t>Τόκοι μισθώσεων καταβεβλημένοι</w:t>
            </w:r>
          </w:p>
        </w:tc>
        <w:tc>
          <w:tcPr>
            <w:tcW w:w="1354" w:type="dxa"/>
            <w:tcBorders>
              <w:left w:val="single" w:sz="4" w:space="0" w:color="auto"/>
            </w:tcBorders>
            <w:vAlign w:val="center"/>
          </w:tcPr>
          <w:p w14:paraId="31EE1BDF" w14:textId="7691A359"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9)</w:t>
            </w:r>
          </w:p>
        </w:tc>
        <w:tc>
          <w:tcPr>
            <w:tcW w:w="1922" w:type="dxa"/>
            <w:gridSpan w:val="2"/>
            <w:vAlign w:val="center"/>
          </w:tcPr>
          <w:p w14:paraId="16AFF5A8" w14:textId="174910F8" w:rsidR="00E820CC" w:rsidRPr="007E5ABB" w:rsidRDefault="00E820CC" w:rsidP="00E820CC">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9)</w:t>
            </w:r>
          </w:p>
        </w:tc>
      </w:tr>
      <w:tr w:rsidR="005D65C5" w:rsidRPr="007E5ABB" w14:paraId="18E612D8" w14:textId="77777777" w:rsidTr="00336B42">
        <w:trPr>
          <w:trHeight w:val="130"/>
        </w:trPr>
        <w:tc>
          <w:tcPr>
            <w:tcW w:w="6805" w:type="dxa"/>
            <w:tcBorders>
              <w:bottom w:val="single" w:sz="4" w:space="0" w:color="auto"/>
              <w:right w:val="single" w:sz="4" w:space="0" w:color="auto"/>
            </w:tcBorders>
            <w:shd w:val="clear" w:color="auto" w:fill="FFFFFF" w:themeFill="background1"/>
            <w:vAlign w:val="center"/>
          </w:tcPr>
          <w:p w14:paraId="5107E5F3" w14:textId="19238FAF" w:rsidR="00E820CC" w:rsidRPr="00914AFE"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Φόρος εισοδήματος καταβεβλημένο</w:t>
            </w:r>
            <w:r>
              <w:rPr>
                <w:rFonts w:ascii="Arial" w:hAnsi="Arial" w:cs="Arial"/>
                <w:sz w:val="18"/>
                <w:szCs w:val="18"/>
                <w:lang w:val="el-GR"/>
              </w:rPr>
              <w:t>ς</w:t>
            </w:r>
          </w:p>
        </w:tc>
        <w:tc>
          <w:tcPr>
            <w:tcW w:w="1354" w:type="dxa"/>
            <w:tcBorders>
              <w:left w:val="single" w:sz="4" w:space="0" w:color="auto"/>
              <w:bottom w:val="single" w:sz="4" w:space="0" w:color="auto"/>
            </w:tcBorders>
            <w:shd w:val="clear" w:color="auto" w:fill="FFFFFF" w:themeFill="background1"/>
            <w:vAlign w:val="center"/>
          </w:tcPr>
          <w:p w14:paraId="68AFEE4F" w14:textId="0B8C339A"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(55</w:t>
            </w:r>
            <w:r w:rsidR="00454299">
              <w:rPr>
                <w:rFonts w:ascii="Arial" w:hAnsi="Arial" w:cs="Arial"/>
                <w:sz w:val="18"/>
                <w:szCs w:val="18"/>
              </w:rPr>
              <w:t>,</w:t>
            </w:r>
            <w:r>
              <w:rPr>
                <w:rFonts w:ascii="Arial" w:hAnsi="Arial" w:cs="Arial"/>
                <w:sz w:val="18"/>
                <w:szCs w:val="18"/>
              </w:rPr>
              <w:t>8)</w:t>
            </w:r>
          </w:p>
        </w:tc>
        <w:tc>
          <w:tcPr>
            <w:tcW w:w="1922" w:type="dxa"/>
            <w:gridSpan w:val="2"/>
            <w:tcBorders>
              <w:bottom w:val="single" w:sz="4" w:space="0" w:color="auto"/>
            </w:tcBorders>
            <w:shd w:val="clear" w:color="auto" w:fill="FFFFFF" w:themeFill="background1"/>
            <w:vAlign w:val="center"/>
          </w:tcPr>
          <w:p w14:paraId="40563AB2" w14:textId="697D9315"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7</w:t>
            </w:r>
            <w:r w:rsidR="00454299">
              <w:rPr>
                <w:rFonts w:ascii="Arial" w:hAnsi="Arial" w:cs="Arial"/>
                <w:sz w:val="18"/>
                <w:szCs w:val="18"/>
              </w:rPr>
              <w:t>,</w:t>
            </w:r>
            <w:r>
              <w:rPr>
                <w:rFonts w:ascii="Arial" w:hAnsi="Arial" w:cs="Arial"/>
                <w:sz w:val="18"/>
                <w:szCs w:val="18"/>
              </w:rPr>
              <w:t>8</w:t>
            </w:r>
          </w:p>
        </w:tc>
      </w:tr>
      <w:tr w:rsidR="005D65C5" w:rsidRPr="007E5ABB" w14:paraId="722DB04C" w14:textId="77777777" w:rsidTr="00336B42">
        <w:trPr>
          <w:trHeight w:val="296"/>
        </w:trPr>
        <w:tc>
          <w:tcPr>
            <w:tcW w:w="6805" w:type="dxa"/>
            <w:tcBorders>
              <w:bottom w:val="single" w:sz="4" w:space="0" w:color="auto"/>
              <w:right w:val="single" w:sz="4" w:space="0" w:color="auto"/>
            </w:tcBorders>
            <w:shd w:val="clear" w:color="auto" w:fill="FFFFFF" w:themeFill="background1"/>
            <w:vAlign w:val="center"/>
          </w:tcPr>
          <w:p w14:paraId="73004D15" w14:textId="6D36F4D5" w:rsidR="00E820CC" w:rsidRPr="007E5ABB" w:rsidRDefault="00E820CC" w:rsidP="00E820CC">
            <w:pPr>
              <w:pStyle w:val="Default"/>
              <w:rPr>
                <w:rFonts w:ascii="Arial" w:hAnsi="Arial" w:cs="Arial"/>
                <w:sz w:val="18"/>
                <w:szCs w:val="18"/>
                <w:lang w:val="el-GR"/>
              </w:rPr>
            </w:pPr>
            <w:r w:rsidRPr="00FB20CB">
              <w:rPr>
                <w:rFonts w:ascii="Arial" w:hAnsi="Arial" w:cs="Arial"/>
                <w:sz w:val="18"/>
                <w:szCs w:val="18"/>
                <w:lang w:val="el-GR"/>
              </w:rPr>
              <w:t xml:space="preserve">Καθαρές ταμειακές ροές από λειτουργικές δραστηριότητες διακοπεισών δραστηριοτήτων </w:t>
            </w:r>
          </w:p>
        </w:tc>
        <w:tc>
          <w:tcPr>
            <w:tcW w:w="1354" w:type="dxa"/>
            <w:tcBorders>
              <w:left w:val="single" w:sz="4" w:space="0" w:color="auto"/>
              <w:bottom w:val="single" w:sz="4" w:space="0" w:color="auto"/>
            </w:tcBorders>
            <w:shd w:val="clear" w:color="auto" w:fill="FFFFFF" w:themeFill="background1"/>
            <w:vAlign w:val="center"/>
          </w:tcPr>
          <w:p w14:paraId="6D9A0248" w14:textId="177E1D69"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w:t>
            </w:r>
          </w:p>
        </w:tc>
        <w:tc>
          <w:tcPr>
            <w:tcW w:w="1922" w:type="dxa"/>
            <w:gridSpan w:val="2"/>
            <w:tcBorders>
              <w:bottom w:val="single" w:sz="4" w:space="0" w:color="auto"/>
            </w:tcBorders>
            <w:shd w:val="clear" w:color="auto" w:fill="FFFFFF" w:themeFill="background1"/>
            <w:vAlign w:val="center"/>
          </w:tcPr>
          <w:p w14:paraId="48567479" w14:textId="073DEBE1"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3</w:t>
            </w:r>
            <w:r w:rsidR="00454299">
              <w:rPr>
                <w:rFonts w:ascii="Arial" w:hAnsi="Arial" w:cs="Arial"/>
                <w:sz w:val="18"/>
                <w:szCs w:val="18"/>
              </w:rPr>
              <w:t>,</w:t>
            </w:r>
            <w:r>
              <w:rPr>
                <w:rFonts w:ascii="Arial" w:hAnsi="Arial" w:cs="Arial"/>
                <w:sz w:val="18"/>
                <w:szCs w:val="18"/>
              </w:rPr>
              <w:t>2</w:t>
            </w:r>
          </w:p>
        </w:tc>
      </w:tr>
      <w:tr w:rsidR="005D65C5" w:rsidRPr="007E5ABB" w14:paraId="382CBE3C" w14:textId="77777777" w:rsidTr="00336B42">
        <w:trPr>
          <w:trHeight w:val="329"/>
        </w:trPr>
        <w:tc>
          <w:tcPr>
            <w:tcW w:w="6805" w:type="dxa"/>
            <w:tcBorders>
              <w:top w:val="single" w:sz="4" w:space="0" w:color="auto"/>
              <w:bottom w:val="single" w:sz="4" w:space="0" w:color="auto"/>
              <w:right w:val="single" w:sz="4" w:space="0" w:color="auto"/>
            </w:tcBorders>
            <w:shd w:val="clear" w:color="auto" w:fill="F2F2F2" w:themeFill="background1" w:themeFillShade="F2"/>
            <w:vAlign w:val="center"/>
          </w:tcPr>
          <w:p w14:paraId="5BDE849D" w14:textId="4A7A5D68" w:rsidR="00E820CC" w:rsidRPr="007E5ABB" w:rsidRDefault="00E820CC" w:rsidP="00E820C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Καθαρές ταμειακές εισροές από λειτουργικές δραστηριότητες</w:t>
            </w:r>
          </w:p>
        </w:tc>
        <w:tc>
          <w:tcPr>
            <w:tcW w:w="1354" w:type="dxa"/>
            <w:tcBorders>
              <w:top w:val="single" w:sz="4" w:space="0" w:color="auto"/>
              <w:left w:val="single" w:sz="4" w:space="0" w:color="auto"/>
              <w:bottom w:val="single" w:sz="4" w:space="0" w:color="auto"/>
            </w:tcBorders>
            <w:shd w:val="clear" w:color="auto" w:fill="F2F2F2" w:themeFill="background1" w:themeFillShade="F2"/>
            <w:vAlign w:val="center"/>
          </w:tcPr>
          <w:p w14:paraId="00AB4899" w14:textId="1B1E4413" w:rsidR="00E820CC" w:rsidRPr="007E5ABB" w:rsidRDefault="00E820CC" w:rsidP="00E820CC">
            <w:pPr>
              <w:pStyle w:val="ColorfulList-Accent11"/>
              <w:tabs>
                <w:tab w:val="left" w:pos="0"/>
                <w:tab w:val="left" w:pos="284"/>
              </w:tabs>
              <w:ind w:left="0" w:right="-90"/>
              <w:jc w:val="center"/>
              <w:rPr>
                <w:rFonts w:ascii="Arial" w:hAnsi="Arial" w:cs="Arial"/>
                <w:b/>
                <w:sz w:val="18"/>
                <w:szCs w:val="18"/>
                <w:lang w:val="el-GR"/>
              </w:rPr>
            </w:pPr>
            <w:r w:rsidRPr="00CD490E">
              <w:rPr>
                <w:rFonts w:ascii="Arial" w:hAnsi="Arial" w:cs="Arial"/>
                <w:b/>
                <w:sz w:val="18"/>
                <w:szCs w:val="18"/>
              </w:rPr>
              <w:t>180</w:t>
            </w:r>
            <w:r w:rsidR="00454299">
              <w:rPr>
                <w:rFonts w:ascii="Arial" w:hAnsi="Arial" w:cs="Arial"/>
                <w:b/>
                <w:sz w:val="18"/>
                <w:szCs w:val="18"/>
              </w:rPr>
              <w:t>,</w:t>
            </w:r>
            <w:r w:rsidRPr="00CD490E">
              <w:rPr>
                <w:rFonts w:ascii="Arial" w:hAnsi="Arial" w:cs="Arial"/>
                <w:b/>
                <w:sz w:val="18"/>
                <w:szCs w:val="18"/>
              </w:rPr>
              <w:t>2</w:t>
            </w:r>
          </w:p>
        </w:tc>
        <w:tc>
          <w:tcPr>
            <w:tcW w:w="1922" w:type="dxa"/>
            <w:gridSpan w:val="2"/>
            <w:tcBorders>
              <w:top w:val="single" w:sz="4" w:space="0" w:color="auto"/>
              <w:bottom w:val="single" w:sz="4" w:space="0" w:color="auto"/>
            </w:tcBorders>
            <w:shd w:val="clear" w:color="auto" w:fill="F2F2F2" w:themeFill="background1" w:themeFillShade="F2"/>
            <w:vAlign w:val="center"/>
          </w:tcPr>
          <w:p w14:paraId="460CD545" w14:textId="2196EBD6" w:rsidR="00E820CC" w:rsidRPr="007E5ABB" w:rsidRDefault="00E820CC" w:rsidP="00E820CC">
            <w:pPr>
              <w:pStyle w:val="ColorfulList-Accent11"/>
              <w:tabs>
                <w:tab w:val="left" w:pos="0"/>
                <w:tab w:val="left" w:pos="284"/>
              </w:tabs>
              <w:ind w:left="0" w:right="-90"/>
              <w:jc w:val="center"/>
              <w:rPr>
                <w:rFonts w:ascii="Arial" w:hAnsi="Arial" w:cs="Arial"/>
                <w:b/>
                <w:sz w:val="18"/>
                <w:szCs w:val="18"/>
                <w:lang w:val="el-GR"/>
              </w:rPr>
            </w:pPr>
            <w:r w:rsidRPr="00CD490E">
              <w:rPr>
                <w:rFonts w:ascii="Arial" w:hAnsi="Arial" w:cs="Arial"/>
                <w:b/>
                <w:sz w:val="18"/>
                <w:szCs w:val="18"/>
              </w:rPr>
              <w:t>235</w:t>
            </w:r>
            <w:r w:rsidR="00454299">
              <w:rPr>
                <w:rFonts w:ascii="Arial" w:hAnsi="Arial" w:cs="Arial"/>
                <w:b/>
                <w:sz w:val="18"/>
                <w:szCs w:val="18"/>
              </w:rPr>
              <w:t>,</w:t>
            </w:r>
            <w:r w:rsidRPr="00CD490E">
              <w:rPr>
                <w:rFonts w:ascii="Arial" w:hAnsi="Arial" w:cs="Arial"/>
                <w:b/>
                <w:sz w:val="18"/>
                <w:szCs w:val="18"/>
              </w:rPr>
              <w:t>9</w:t>
            </w:r>
          </w:p>
        </w:tc>
      </w:tr>
      <w:tr w:rsidR="005D65C5" w:rsidRPr="007E5ABB" w14:paraId="6C08B3E1" w14:textId="77777777" w:rsidTr="00336B42">
        <w:trPr>
          <w:trHeight w:val="45"/>
        </w:trPr>
        <w:tc>
          <w:tcPr>
            <w:tcW w:w="6805" w:type="dxa"/>
            <w:tcBorders>
              <w:top w:val="single" w:sz="4" w:space="0" w:color="auto"/>
              <w:bottom w:val="single" w:sz="4" w:space="0" w:color="auto"/>
              <w:right w:val="single" w:sz="4" w:space="0" w:color="auto"/>
            </w:tcBorders>
            <w:vAlign w:val="center"/>
          </w:tcPr>
          <w:p w14:paraId="54ACD4F3" w14:textId="1C859743" w:rsidR="0039249F" w:rsidRPr="007E5ABB" w:rsidRDefault="0039249F" w:rsidP="006C6098">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bCs/>
                <w:sz w:val="18"/>
                <w:szCs w:val="18"/>
                <w:lang w:val="el-GR"/>
              </w:rPr>
              <w:t>Ταμειακές ροές από επενδυτικές δραστηριότητες</w:t>
            </w:r>
          </w:p>
        </w:tc>
        <w:tc>
          <w:tcPr>
            <w:tcW w:w="1354" w:type="dxa"/>
            <w:tcBorders>
              <w:top w:val="single" w:sz="4" w:space="0" w:color="auto"/>
              <w:left w:val="single" w:sz="4" w:space="0" w:color="auto"/>
              <w:bottom w:val="single" w:sz="4" w:space="0" w:color="auto"/>
            </w:tcBorders>
            <w:vAlign w:val="center"/>
          </w:tcPr>
          <w:p w14:paraId="120A0E8F" w14:textId="059F9151" w:rsidR="0039249F" w:rsidRPr="007E5ABB" w:rsidRDefault="0039249F" w:rsidP="006C6098">
            <w:pPr>
              <w:pStyle w:val="ColorfulList-Accent11"/>
              <w:tabs>
                <w:tab w:val="left" w:pos="0"/>
                <w:tab w:val="left" w:pos="284"/>
              </w:tabs>
              <w:ind w:left="0" w:right="-90"/>
              <w:jc w:val="center"/>
              <w:rPr>
                <w:rFonts w:ascii="Arial" w:hAnsi="Arial" w:cs="Arial"/>
                <w:i/>
                <w:color w:val="FF0000"/>
                <w:sz w:val="18"/>
                <w:szCs w:val="18"/>
                <w:lang w:val="el-GR"/>
              </w:rPr>
            </w:pPr>
          </w:p>
        </w:tc>
        <w:tc>
          <w:tcPr>
            <w:tcW w:w="1922" w:type="dxa"/>
            <w:gridSpan w:val="2"/>
            <w:tcBorders>
              <w:top w:val="single" w:sz="4" w:space="0" w:color="auto"/>
              <w:bottom w:val="single" w:sz="4" w:space="0" w:color="auto"/>
            </w:tcBorders>
            <w:vAlign w:val="center"/>
          </w:tcPr>
          <w:p w14:paraId="26DD3B8C" w14:textId="543B6507" w:rsidR="0039249F" w:rsidRPr="007E5ABB" w:rsidRDefault="0039249F" w:rsidP="006C6098">
            <w:pPr>
              <w:pStyle w:val="ColorfulList-Accent11"/>
              <w:tabs>
                <w:tab w:val="left" w:pos="0"/>
                <w:tab w:val="left" w:pos="284"/>
              </w:tabs>
              <w:ind w:left="0" w:right="-90"/>
              <w:jc w:val="center"/>
              <w:rPr>
                <w:rFonts w:ascii="Arial" w:hAnsi="Arial" w:cs="Arial"/>
                <w:i/>
                <w:color w:val="FF0000"/>
                <w:sz w:val="18"/>
                <w:szCs w:val="18"/>
                <w:lang w:val="el-GR"/>
              </w:rPr>
            </w:pPr>
          </w:p>
        </w:tc>
      </w:tr>
      <w:tr w:rsidR="0046090F" w:rsidRPr="007E5ABB" w14:paraId="416DB22C" w14:textId="77777777" w:rsidTr="00336B42">
        <w:trPr>
          <w:trHeight w:val="45"/>
        </w:trPr>
        <w:tc>
          <w:tcPr>
            <w:tcW w:w="6805" w:type="dxa"/>
            <w:tcBorders>
              <w:top w:val="single" w:sz="4" w:space="0" w:color="auto"/>
              <w:right w:val="single" w:sz="4" w:space="0" w:color="auto"/>
            </w:tcBorders>
            <w:vAlign w:val="center"/>
          </w:tcPr>
          <w:p w14:paraId="0AC98571" w14:textId="47FA5AB4" w:rsidR="00E820CC" w:rsidRPr="0042237E" w:rsidRDefault="00E820CC" w:rsidP="00E820CC">
            <w:pPr>
              <w:pStyle w:val="ColorfulList-Accent11"/>
              <w:tabs>
                <w:tab w:val="left" w:pos="0"/>
                <w:tab w:val="left" w:pos="284"/>
              </w:tabs>
              <w:ind w:left="0" w:right="-90"/>
              <w:rPr>
                <w:rFonts w:ascii="Arial" w:hAnsi="Arial" w:cs="Arial"/>
                <w:sz w:val="18"/>
                <w:szCs w:val="18"/>
                <w:lang w:val="el-GR"/>
              </w:rPr>
            </w:pPr>
            <w:r>
              <w:rPr>
                <w:rFonts w:ascii="Arial" w:hAnsi="Arial" w:cs="Arial"/>
                <w:color w:val="000000"/>
                <w:sz w:val="18"/>
                <w:szCs w:val="18"/>
                <w:lang w:val="el-GR" w:eastAsia="el-GR"/>
              </w:rPr>
              <w:t>Επένδυση σε συμφωνίες παραχώρησης</w:t>
            </w:r>
          </w:p>
        </w:tc>
        <w:tc>
          <w:tcPr>
            <w:tcW w:w="1354" w:type="dxa"/>
            <w:tcBorders>
              <w:top w:val="single" w:sz="4" w:space="0" w:color="auto"/>
              <w:left w:val="single" w:sz="4" w:space="0" w:color="auto"/>
            </w:tcBorders>
            <w:vAlign w:val="center"/>
          </w:tcPr>
          <w:p w14:paraId="7010F399" w14:textId="44B30F0B" w:rsidR="00E820CC" w:rsidRPr="00A9592A" w:rsidRDefault="00E820CC" w:rsidP="00E820CC">
            <w:pPr>
              <w:pStyle w:val="ColorfulList-Accent11"/>
              <w:tabs>
                <w:tab w:val="left" w:pos="0"/>
                <w:tab w:val="left" w:pos="284"/>
              </w:tabs>
              <w:ind w:left="0" w:right="-90"/>
              <w:jc w:val="center"/>
              <w:rPr>
                <w:rFonts w:ascii="Arial" w:hAnsi="Arial" w:cs="Arial"/>
                <w:i/>
                <w:color w:val="FF0000"/>
                <w:sz w:val="18"/>
                <w:szCs w:val="18"/>
                <w:highlight w:val="yellow"/>
                <w:lang w:val="el-GR"/>
              </w:rPr>
            </w:pPr>
            <w:r>
              <w:rPr>
                <w:rFonts w:ascii="Arial" w:hAnsi="Arial" w:cs="Arial"/>
                <w:sz w:val="18"/>
                <w:szCs w:val="18"/>
              </w:rPr>
              <w:t>(1</w:t>
            </w:r>
            <w:r w:rsidR="00454299">
              <w:rPr>
                <w:rFonts w:ascii="Arial" w:hAnsi="Arial" w:cs="Arial"/>
                <w:sz w:val="18"/>
                <w:szCs w:val="18"/>
              </w:rPr>
              <w:t>,</w:t>
            </w:r>
            <w:r>
              <w:rPr>
                <w:rFonts w:ascii="Arial" w:hAnsi="Arial" w:cs="Arial"/>
                <w:sz w:val="18"/>
                <w:szCs w:val="18"/>
              </w:rPr>
              <w:t>4)</w:t>
            </w:r>
          </w:p>
        </w:tc>
        <w:tc>
          <w:tcPr>
            <w:tcW w:w="1922" w:type="dxa"/>
            <w:gridSpan w:val="2"/>
            <w:tcBorders>
              <w:top w:val="single" w:sz="4" w:space="0" w:color="auto"/>
            </w:tcBorders>
            <w:vAlign w:val="center"/>
          </w:tcPr>
          <w:p w14:paraId="555E3396" w14:textId="0CC5E771" w:rsidR="00E820CC" w:rsidRPr="00A9592A" w:rsidRDefault="00E820CC" w:rsidP="00E820CC">
            <w:pPr>
              <w:pStyle w:val="ColorfulList-Accent11"/>
              <w:tabs>
                <w:tab w:val="left" w:pos="0"/>
                <w:tab w:val="left" w:pos="284"/>
              </w:tabs>
              <w:ind w:left="0" w:right="-90"/>
              <w:jc w:val="center"/>
              <w:rPr>
                <w:rFonts w:ascii="Arial" w:hAnsi="Arial" w:cs="Arial"/>
                <w:i/>
                <w:color w:val="FF0000"/>
                <w:sz w:val="18"/>
                <w:szCs w:val="18"/>
                <w:highlight w:val="yellow"/>
                <w:lang w:val="el-GR"/>
              </w:rPr>
            </w:pPr>
            <w:r>
              <w:rPr>
                <w:rFonts w:ascii="Arial" w:hAnsi="Arial" w:cs="Arial"/>
                <w:sz w:val="18"/>
                <w:szCs w:val="18"/>
              </w:rPr>
              <w:t>-</w:t>
            </w:r>
          </w:p>
        </w:tc>
      </w:tr>
      <w:tr w:rsidR="005D65C5" w:rsidRPr="007E5ABB" w14:paraId="7AF4B9C8" w14:textId="77777777" w:rsidTr="00336B42">
        <w:trPr>
          <w:trHeight w:val="186"/>
        </w:trPr>
        <w:tc>
          <w:tcPr>
            <w:tcW w:w="6805" w:type="dxa"/>
            <w:tcBorders>
              <w:right w:val="single" w:sz="4" w:space="0" w:color="auto"/>
            </w:tcBorders>
            <w:vAlign w:val="center"/>
          </w:tcPr>
          <w:p w14:paraId="2CB15D25" w14:textId="4353A410" w:rsidR="00E820CC" w:rsidRPr="00FB20CB" w:rsidRDefault="00E820CC" w:rsidP="00E820CC">
            <w:pPr>
              <w:pStyle w:val="Default"/>
              <w:rPr>
                <w:rFonts w:ascii="Arial" w:hAnsi="Arial" w:cs="Arial"/>
                <w:sz w:val="18"/>
                <w:szCs w:val="18"/>
                <w:lang w:val="el-GR"/>
              </w:rPr>
            </w:pPr>
            <w:r w:rsidRPr="00FB20CB">
              <w:rPr>
                <w:rFonts w:ascii="Arial" w:hAnsi="Arial" w:cs="Arial"/>
                <w:sz w:val="18"/>
                <w:szCs w:val="18"/>
                <w:lang w:val="el-GR"/>
              </w:rPr>
              <w:t xml:space="preserve">Αγορά χρηματοοικονομικών περιουσιακών στοιχείων </w:t>
            </w:r>
          </w:p>
        </w:tc>
        <w:tc>
          <w:tcPr>
            <w:tcW w:w="1354" w:type="dxa"/>
            <w:tcBorders>
              <w:left w:val="single" w:sz="4" w:space="0" w:color="auto"/>
            </w:tcBorders>
            <w:vAlign w:val="center"/>
          </w:tcPr>
          <w:p w14:paraId="33EAB0EC" w14:textId="69FA8D2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(0</w:t>
            </w:r>
            <w:r w:rsidR="00454299">
              <w:rPr>
                <w:rFonts w:ascii="Arial" w:hAnsi="Arial" w:cs="Arial"/>
                <w:sz w:val="18"/>
                <w:szCs w:val="18"/>
              </w:rPr>
              <w:t>,</w:t>
            </w:r>
            <w:r>
              <w:rPr>
                <w:rFonts w:ascii="Arial" w:hAnsi="Arial" w:cs="Arial"/>
                <w:sz w:val="18"/>
                <w:szCs w:val="18"/>
              </w:rPr>
              <w:t>1)</w:t>
            </w:r>
          </w:p>
        </w:tc>
        <w:tc>
          <w:tcPr>
            <w:tcW w:w="1922" w:type="dxa"/>
            <w:gridSpan w:val="2"/>
            <w:vAlign w:val="center"/>
          </w:tcPr>
          <w:p w14:paraId="4D920A20" w14:textId="1F89147A"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w:t>
            </w:r>
          </w:p>
        </w:tc>
      </w:tr>
      <w:tr w:rsidR="005D65C5" w:rsidRPr="007E5ABB" w14:paraId="500E791D" w14:textId="77777777" w:rsidTr="00336B42">
        <w:trPr>
          <w:trHeight w:val="186"/>
        </w:trPr>
        <w:tc>
          <w:tcPr>
            <w:tcW w:w="6805" w:type="dxa"/>
            <w:tcBorders>
              <w:right w:val="single" w:sz="4" w:space="0" w:color="auto"/>
            </w:tcBorders>
            <w:vAlign w:val="center"/>
          </w:tcPr>
          <w:p w14:paraId="223D7AF0" w14:textId="252E613B"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rPr>
              <w:t>Αποπληρωμές εισπρακτέων δανείων</w:t>
            </w:r>
          </w:p>
        </w:tc>
        <w:tc>
          <w:tcPr>
            <w:tcW w:w="1354" w:type="dxa"/>
            <w:tcBorders>
              <w:left w:val="single" w:sz="4" w:space="0" w:color="auto"/>
            </w:tcBorders>
            <w:vAlign w:val="center"/>
          </w:tcPr>
          <w:p w14:paraId="2BA20402" w14:textId="1E87CA30"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454299">
              <w:rPr>
                <w:rFonts w:ascii="Arial" w:hAnsi="Arial" w:cs="Arial"/>
                <w:sz w:val="18"/>
                <w:szCs w:val="18"/>
              </w:rPr>
              <w:t>,</w:t>
            </w:r>
            <w:r>
              <w:rPr>
                <w:rFonts w:ascii="Arial" w:hAnsi="Arial" w:cs="Arial"/>
                <w:sz w:val="18"/>
                <w:szCs w:val="18"/>
              </w:rPr>
              <w:t>8</w:t>
            </w:r>
          </w:p>
        </w:tc>
        <w:tc>
          <w:tcPr>
            <w:tcW w:w="1922" w:type="dxa"/>
            <w:gridSpan w:val="2"/>
            <w:vAlign w:val="center"/>
          </w:tcPr>
          <w:p w14:paraId="01808AC3" w14:textId="569672EF"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w:t>
            </w:r>
            <w:r w:rsidR="00454299">
              <w:rPr>
                <w:rFonts w:ascii="Arial" w:hAnsi="Arial" w:cs="Arial"/>
                <w:sz w:val="18"/>
                <w:szCs w:val="18"/>
              </w:rPr>
              <w:t>,</w:t>
            </w:r>
            <w:r>
              <w:rPr>
                <w:rFonts w:ascii="Arial" w:hAnsi="Arial" w:cs="Arial"/>
                <w:sz w:val="18"/>
                <w:szCs w:val="18"/>
              </w:rPr>
              <w:t>4</w:t>
            </w:r>
          </w:p>
        </w:tc>
      </w:tr>
      <w:tr w:rsidR="005D65C5" w:rsidRPr="007E5ABB" w14:paraId="60304DE4" w14:textId="77777777" w:rsidTr="00336B42">
        <w:trPr>
          <w:trHeight w:val="186"/>
        </w:trPr>
        <w:tc>
          <w:tcPr>
            <w:tcW w:w="6805" w:type="dxa"/>
            <w:tcBorders>
              <w:right w:val="single" w:sz="4" w:space="0" w:color="auto"/>
            </w:tcBorders>
            <w:vAlign w:val="center"/>
          </w:tcPr>
          <w:p w14:paraId="5BED4FA6" w14:textId="382908AF" w:rsidR="00E820CC" w:rsidRPr="0042237E"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Αγορά ενσώματων και άυλων παγίων περιουσιακών στοιχείων</w:t>
            </w:r>
          </w:p>
        </w:tc>
        <w:tc>
          <w:tcPr>
            <w:tcW w:w="1354" w:type="dxa"/>
            <w:tcBorders>
              <w:left w:val="single" w:sz="4" w:space="0" w:color="auto"/>
            </w:tcBorders>
            <w:vAlign w:val="center"/>
          </w:tcPr>
          <w:p w14:paraId="3A158007" w14:textId="52F77CCE" w:rsidR="00E820CC" w:rsidRPr="0042237E"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(108</w:t>
            </w:r>
            <w:r w:rsidR="00454299">
              <w:rPr>
                <w:rFonts w:ascii="Arial" w:hAnsi="Arial" w:cs="Arial"/>
                <w:sz w:val="18"/>
                <w:szCs w:val="18"/>
              </w:rPr>
              <w:t>,</w:t>
            </w:r>
            <w:r>
              <w:rPr>
                <w:rFonts w:ascii="Arial" w:hAnsi="Arial" w:cs="Arial"/>
                <w:sz w:val="18"/>
                <w:szCs w:val="18"/>
              </w:rPr>
              <w:t>5)</w:t>
            </w:r>
          </w:p>
        </w:tc>
        <w:tc>
          <w:tcPr>
            <w:tcW w:w="1922" w:type="dxa"/>
            <w:gridSpan w:val="2"/>
            <w:vAlign w:val="center"/>
          </w:tcPr>
          <w:p w14:paraId="65DD5585" w14:textId="5931901E" w:rsidR="00E820CC" w:rsidRPr="0042237E"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(117</w:t>
            </w:r>
            <w:r w:rsidR="00454299">
              <w:rPr>
                <w:rFonts w:ascii="Arial" w:hAnsi="Arial" w:cs="Arial"/>
                <w:sz w:val="18"/>
                <w:szCs w:val="18"/>
              </w:rPr>
              <w:t>,</w:t>
            </w:r>
            <w:r>
              <w:rPr>
                <w:rFonts w:ascii="Arial" w:hAnsi="Arial" w:cs="Arial"/>
                <w:sz w:val="18"/>
                <w:szCs w:val="18"/>
              </w:rPr>
              <w:t>4)</w:t>
            </w:r>
          </w:p>
        </w:tc>
      </w:tr>
      <w:tr w:rsidR="005D65C5" w:rsidRPr="007E5ABB" w14:paraId="2E292174" w14:textId="77777777" w:rsidTr="00336B42">
        <w:trPr>
          <w:trHeight w:val="186"/>
        </w:trPr>
        <w:tc>
          <w:tcPr>
            <w:tcW w:w="6805" w:type="dxa"/>
            <w:tcBorders>
              <w:right w:val="single" w:sz="4" w:space="0" w:color="auto"/>
            </w:tcBorders>
            <w:vAlign w:val="center"/>
          </w:tcPr>
          <w:p w14:paraId="5C581ED9" w14:textId="156DA039"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1A633A">
              <w:rPr>
                <w:rFonts w:ascii="Arial" w:hAnsi="Arial" w:cs="Arial"/>
                <w:sz w:val="18"/>
                <w:szCs w:val="18"/>
                <w:lang w:val="el-GR"/>
              </w:rPr>
              <w:t>Καθαρές ροές σχετιζόμενες με πώληση θυγατρικών / συμμετοχών</w:t>
            </w:r>
            <w:r w:rsidRPr="00800BC5">
              <w:rPr>
                <w:lang w:val="el-GR"/>
              </w:rPr>
              <w:t xml:space="preserve"> </w:t>
            </w:r>
          </w:p>
        </w:tc>
        <w:tc>
          <w:tcPr>
            <w:tcW w:w="1354" w:type="dxa"/>
            <w:tcBorders>
              <w:left w:val="single" w:sz="4" w:space="0" w:color="auto"/>
            </w:tcBorders>
            <w:vAlign w:val="center"/>
          </w:tcPr>
          <w:p w14:paraId="3BA446C5" w14:textId="152190EB" w:rsidR="00E820CC" w:rsidRDefault="00E820CC" w:rsidP="00E820CC">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5)</w:t>
            </w:r>
          </w:p>
        </w:tc>
        <w:tc>
          <w:tcPr>
            <w:tcW w:w="1922" w:type="dxa"/>
            <w:gridSpan w:val="2"/>
            <w:vAlign w:val="center"/>
          </w:tcPr>
          <w:p w14:paraId="283BC889" w14:textId="68379A47" w:rsidR="00E820CC" w:rsidRDefault="00E820CC" w:rsidP="00E820CC">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454299">
              <w:rPr>
                <w:rFonts w:ascii="Arial" w:hAnsi="Arial" w:cs="Arial"/>
                <w:sz w:val="18"/>
                <w:szCs w:val="18"/>
              </w:rPr>
              <w:t>,</w:t>
            </w:r>
            <w:r>
              <w:rPr>
                <w:rFonts w:ascii="Arial" w:hAnsi="Arial" w:cs="Arial"/>
                <w:sz w:val="18"/>
                <w:szCs w:val="18"/>
              </w:rPr>
              <w:t>2)</w:t>
            </w:r>
          </w:p>
        </w:tc>
      </w:tr>
      <w:tr w:rsidR="0046090F" w:rsidRPr="007E5ABB" w14:paraId="205DEAC5" w14:textId="77777777" w:rsidTr="00336B42">
        <w:trPr>
          <w:trHeight w:val="186"/>
        </w:trPr>
        <w:tc>
          <w:tcPr>
            <w:tcW w:w="6805" w:type="dxa"/>
            <w:tcBorders>
              <w:bottom w:val="single" w:sz="4" w:space="0" w:color="auto"/>
              <w:right w:val="single" w:sz="4" w:space="0" w:color="auto"/>
            </w:tcBorders>
            <w:vAlign w:val="center"/>
          </w:tcPr>
          <w:p w14:paraId="3C520A9E" w14:textId="69841190" w:rsidR="00E820CC" w:rsidRPr="00FB20CB" w:rsidRDefault="00E820CC" w:rsidP="00E820CC">
            <w:pPr>
              <w:pStyle w:val="Default"/>
              <w:rPr>
                <w:rFonts w:ascii="Arial" w:hAnsi="Arial" w:cs="Arial"/>
                <w:sz w:val="18"/>
                <w:szCs w:val="18"/>
                <w:lang w:val="el-GR"/>
              </w:rPr>
            </w:pPr>
            <w:r w:rsidRPr="007E5ABB">
              <w:rPr>
                <w:rFonts w:ascii="Arial" w:hAnsi="Arial" w:cs="Arial"/>
                <w:sz w:val="18"/>
                <w:szCs w:val="18"/>
              </w:rPr>
              <w:t>Πιστωτικοί τόκοι εισπραχθέντες</w:t>
            </w:r>
          </w:p>
        </w:tc>
        <w:tc>
          <w:tcPr>
            <w:tcW w:w="1354" w:type="dxa"/>
            <w:tcBorders>
              <w:left w:val="single" w:sz="4" w:space="0" w:color="auto"/>
              <w:bottom w:val="single" w:sz="4" w:space="0" w:color="auto"/>
            </w:tcBorders>
            <w:vAlign w:val="center"/>
          </w:tcPr>
          <w:p w14:paraId="326E34DA" w14:textId="36926025"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1</w:t>
            </w:r>
            <w:r w:rsidR="00454299">
              <w:rPr>
                <w:rFonts w:ascii="Arial" w:hAnsi="Arial" w:cs="Arial"/>
                <w:sz w:val="18"/>
                <w:szCs w:val="18"/>
              </w:rPr>
              <w:t>,</w:t>
            </w:r>
            <w:r>
              <w:rPr>
                <w:rFonts w:ascii="Arial" w:hAnsi="Arial" w:cs="Arial"/>
                <w:sz w:val="18"/>
                <w:szCs w:val="18"/>
              </w:rPr>
              <w:t>6</w:t>
            </w:r>
          </w:p>
        </w:tc>
        <w:tc>
          <w:tcPr>
            <w:tcW w:w="1922" w:type="dxa"/>
            <w:gridSpan w:val="2"/>
            <w:tcBorders>
              <w:bottom w:val="single" w:sz="4" w:space="0" w:color="auto"/>
            </w:tcBorders>
            <w:vAlign w:val="center"/>
          </w:tcPr>
          <w:p w14:paraId="48EE66C9" w14:textId="32E58B9C"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2</w:t>
            </w:r>
            <w:r w:rsidR="00454299">
              <w:rPr>
                <w:rFonts w:ascii="Arial" w:hAnsi="Arial" w:cs="Arial"/>
                <w:sz w:val="18"/>
                <w:szCs w:val="18"/>
              </w:rPr>
              <w:t>,</w:t>
            </w:r>
            <w:r>
              <w:rPr>
                <w:rFonts w:ascii="Arial" w:hAnsi="Arial" w:cs="Arial"/>
                <w:sz w:val="18"/>
                <w:szCs w:val="18"/>
              </w:rPr>
              <w:t>4</w:t>
            </w:r>
          </w:p>
        </w:tc>
      </w:tr>
      <w:tr w:rsidR="00785528" w:rsidRPr="007E5ABB" w14:paraId="1E08AB96" w14:textId="77777777" w:rsidTr="00336B42">
        <w:trPr>
          <w:trHeight w:val="186"/>
        </w:trPr>
        <w:tc>
          <w:tcPr>
            <w:tcW w:w="6805" w:type="dxa"/>
            <w:tcBorders>
              <w:top w:val="single" w:sz="4" w:space="0" w:color="auto"/>
              <w:bottom w:val="single" w:sz="2" w:space="0" w:color="808080" w:themeColor="background1" w:themeShade="80"/>
              <w:right w:val="single" w:sz="4" w:space="0" w:color="auto"/>
            </w:tcBorders>
            <w:vAlign w:val="center"/>
          </w:tcPr>
          <w:p w14:paraId="2B9DE23E" w14:textId="43C00D60" w:rsidR="00E820CC" w:rsidRPr="009A7666" w:rsidRDefault="00E820CC" w:rsidP="00E820CC">
            <w:pPr>
              <w:pStyle w:val="ColorfulList-Accent11"/>
              <w:tabs>
                <w:tab w:val="left" w:pos="0"/>
                <w:tab w:val="left" w:pos="284"/>
              </w:tabs>
              <w:ind w:left="0" w:right="-90"/>
              <w:rPr>
                <w:rFonts w:ascii="Arial" w:hAnsi="Arial" w:cs="Arial"/>
                <w:sz w:val="18"/>
                <w:szCs w:val="18"/>
                <w:lang w:val="el-GR"/>
              </w:rPr>
            </w:pPr>
            <w:r w:rsidRPr="00FB20CB">
              <w:rPr>
                <w:rFonts w:ascii="Arial" w:hAnsi="Arial" w:cs="Arial"/>
                <w:sz w:val="18"/>
                <w:szCs w:val="18"/>
                <w:lang w:val="el-GR"/>
              </w:rPr>
              <w:t>Καθαρές ταμειακές ροές από επενδυτικές δραστηριότητες διακοπεισών δραστηριοτήτων</w:t>
            </w:r>
          </w:p>
        </w:tc>
        <w:tc>
          <w:tcPr>
            <w:tcW w:w="1354" w:type="dxa"/>
            <w:tcBorders>
              <w:top w:val="single" w:sz="4" w:space="0" w:color="auto"/>
              <w:left w:val="single" w:sz="4" w:space="0" w:color="auto"/>
              <w:bottom w:val="single" w:sz="2" w:space="0" w:color="808080" w:themeColor="background1" w:themeShade="80"/>
            </w:tcBorders>
            <w:vAlign w:val="center"/>
          </w:tcPr>
          <w:p w14:paraId="5BD7931E" w14:textId="75791ACA"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w:t>
            </w:r>
          </w:p>
        </w:tc>
        <w:tc>
          <w:tcPr>
            <w:tcW w:w="1922" w:type="dxa"/>
            <w:gridSpan w:val="2"/>
            <w:tcBorders>
              <w:top w:val="single" w:sz="4" w:space="0" w:color="auto"/>
              <w:bottom w:val="single" w:sz="2" w:space="0" w:color="808080" w:themeColor="background1" w:themeShade="80"/>
            </w:tcBorders>
            <w:vAlign w:val="center"/>
          </w:tcPr>
          <w:p w14:paraId="7833C91A" w14:textId="782F45BF"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(8</w:t>
            </w:r>
            <w:r w:rsidR="00454299">
              <w:rPr>
                <w:rFonts w:ascii="Arial" w:hAnsi="Arial" w:cs="Arial"/>
                <w:sz w:val="18"/>
                <w:szCs w:val="18"/>
              </w:rPr>
              <w:t>,</w:t>
            </w:r>
            <w:r>
              <w:rPr>
                <w:rFonts w:ascii="Arial" w:hAnsi="Arial" w:cs="Arial"/>
                <w:sz w:val="18"/>
                <w:szCs w:val="18"/>
              </w:rPr>
              <w:t>0)</w:t>
            </w:r>
          </w:p>
        </w:tc>
      </w:tr>
      <w:tr w:rsidR="0046090F" w:rsidRPr="007E5ABB" w14:paraId="340DDF18" w14:textId="77777777" w:rsidTr="00336B42">
        <w:trPr>
          <w:trHeight w:val="303"/>
        </w:trPr>
        <w:tc>
          <w:tcPr>
            <w:tcW w:w="6805" w:type="dxa"/>
            <w:tcBorders>
              <w:bottom w:val="single" w:sz="2" w:space="0" w:color="808080" w:themeColor="background1" w:themeShade="80"/>
              <w:right w:val="single" w:sz="4" w:space="0" w:color="auto"/>
            </w:tcBorders>
            <w:vAlign w:val="center"/>
          </w:tcPr>
          <w:p w14:paraId="49DEF89A" w14:textId="5AA1BCB1" w:rsidR="00E820CC" w:rsidRPr="007E5ABB" w:rsidRDefault="00E820CC" w:rsidP="00E820CC">
            <w:pPr>
              <w:pStyle w:val="Default"/>
              <w:rPr>
                <w:rFonts w:ascii="Arial" w:hAnsi="Arial" w:cs="Arial"/>
                <w:sz w:val="18"/>
                <w:szCs w:val="18"/>
                <w:lang w:val="el-GR"/>
              </w:rPr>
            </w:pPr>
            <w:r w:rsidRPr="007E5ABB">
              <w:rPr>
                <w:rFonts w:ascii="Arial" w:hAnsi="Arial" w:cs="Arial"/>
                <w:b/>
                <w:sz w:val="18"/>
                <w:szCs w:val="18"/>
                <w:lang w:val="el-GR"/>
              </w:rPr>
              <w:t>Καθαρές ταμειακές ροές από επενδυτικές δραστηριότητες</w:t>
            </w:r>
          </w:p>
        </w:tc>
        <w:tc>
          <w:tcPr>
            <w:tcW w:w="1354" w:type="dxa"/>
            <w:tcBorders>
              <w:left w:val="single" w:sz="4" w:space="0" w:color="auto"/>
              <w:bottom w:val="single" w:sz="2" w:space="0" w:color="808080" w:themeColor="background1" w:themeShade="80"/>
            </w:tcBorders>
            <w:vAlign w:val="center"/>
          </w:tcPr>
          <w:p w14:paraId="09F406B0" w14:textId="61EDC500"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b/>
                <w:sz w:val="18"/>
                <w:szCs w:val="18"/>
              </w:rPr>
              <w:t>(</w:t>
            </w:r>
            <w:r>
              <w:rPr>
                <w:rFonts w:ascii="Arial" w:hAnsi="Arial" w:cs="Arial"/>
                <w:b/>
                <w:bCs/>
                <w:sz w:val="18"/>
                <w:szCs w:val="18"/>
              </w:rPr>
              <w:t>107</w:t>
            </w:r>
            <w:r w:rsidR="00454299">
              <w:rPr>
                <w:rFonts w:ascii="Arial" w:hAnsi="Arial" w:cs="Arial"/>
                <w:b/>
                <w:sz w:val="18"/>
                <w:szCs w:val="18"/>
              </w:rPr>
              <w:t>,</w:t>
            </w:r>
            <w:r>
              <w:rPr>
                <w:rFonts w:ascii="Arial" w:hAnsi="Arial" w:cs="Arial"/>
                <w:b/>
                <w:sz w:val="18"/>
                <w:szCs w:val="18"/>
              </w:rPr>
              <w:t>1)</w:t>
            </w:r>
          </w:p>
        </w:tc>
        <w:tc>
          <w:tcPr>
            <w:tcW w:w="1922" w:type="dxa"/>
            <w:gridSpan w:val="2"/>
            <w:tcBorders>
              <w:bottom w:val="single" w:sz="2" w:space="0" w:color="808080" w:themeColor="background1" w:themeShade="80"/>
            </w:tcBorders>
            <w:vAlign w:val="center"/>
          </w:tcPr>
          <w:p w14:paraId="71B14023" w14:textId="4475BA81"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b/>
                <w:sz w:val="18"/>
                <w:szCs w:val="18"/>
              </w:rPr>
              <w:t>(</w:t>
            </w:r>
            <w:r>
              <w:rPr>
                <w:rFonts w:ascii="Arial" w:hAnsi="Arial" w:cs="Arial"/>
                <w:b/>
                <w:bCs/>
                <w:sz w:val="18"/>
                <w:szCs w:val="18"/>
              </w:rPr>
              <w:t>120</w:t>
            </w:r>
            <w:r w:rsidR="00454299">
              <w:rPr>
                <w:rFonts w:ascii="Arial" w:hAnsi="Arial" w:cs="Arial"/>
                <w:b/>
                <w:bCs/>
                <w:sz w:val="18"/>
                <w:szCs w:val="18"/>
              </w:rPr>
              <w:t>,</w:t>
            </w:r>
            <w:r>
              <w:rPr>
                <w:rFonts w:ascii="Arial" w:hAnsi="Arial" w:cs="Arial"/>
                <w:b/>
                <w:bCs/>
                <w:sz w:val="18"/>
                <w:szCs w:val="18"/>
              </w:rPr>
              <w:t>8</w:t>
            </w:r>
            <w:r>
              <w:rPr>
                <w:rFonts w:ascii="Arial" w:hAnsi="Arial" w:cs="Arial"/>
                <w:b/>
                <w:sz w:val="18"/>
                <w:szCs w:val="18"/>
              </w:rPr>
              <w:t>)</w:t>
            </w:r>
          </w:p>
        </w:tc>
      </w:tr>
      <w:tr w:rsidR="005D65C5" w:rsidRPr="007E5ABB" w14:paraId="43C9DC13" w14:textId="77777777" w:rsidTr="00336B42">
        <w:trPr>
          <w:trHeight w:val="45"/>
        </w:trPr>
        <w:tc>
          <w:tcPr>
            <w:tcW w:w="6805" w:type="dxa"/>
            <w:tcBorders>
              <w:top w:val="single" w:sz="2" w:space="0" w:color="808080" w:themeColor="background1" w:themeShade="80"/>
              <w:right w:val="single" w:sz="4" w:space="0" w:color="auto"/>
            </w:tcBorders>
            <w:shd w:val="clear" w:color="auto" w:fill="FFFFFF" w:themeFill="background1"/>
          </w:tcPr>
          <w:p w14:paraId="61FC875A" w14:textId="46D98D85" w:rsidR="0039249F" w:rsidRPr="007E5ABB" w:rsidRDefault="0039249F" w:rsidP="007F66C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Ταμειακές ροές από χρηματοδοτικές δραστηριότητες</w:t>
            </w:r>
          </w:p>
        </w:tc>
        <w:tc>
          <w:tcPr>
            <w:tcW w:w="1354" w:type="dxa"/>
            <w:tcBorders>
              <w:top w:val="single" w:sz="2" w:space="0" w:color="808080" w:themeColor="background1" w:themeShade="80"/>
              <w:left w:val="single" w:sz="4" w:space="0" w:color="auto"/>
            </w:tcBorders>
            <w:shd w:val="clear" w:color="auto" w:fill="FFFFFF" w:themeFill="background1"/>
            <w:vAlign w:val="center"/>
          </w:tcPr>
          <w:p w14:paraId="47E9D718" w14:textId="6AC9A9B5" w:rsidR="0039249F" w:rsidRPr="007E5ABB" w:rsidRDefault="0039249F" w:rsidP="007F66CC">
            <w:pPr>
              <w:pStyle w:val="ColorfulList-Accent11"/>
              <w:tabs>
                <w:tab w:val="left" w:pos="0"/>
                <w:tab w:val="left" w:pos="284"/>
              </w:tabs>
              <w:ind w:left="0" w:right="-90"/>
              <w:jc w:val="center"/>
              <w:rPr>
                <w:rFonts w:ascii="Arial" w:hAnsi="Arial" w:cs="Arial"/>
                <w:b/>
                <w:color w:val="FF0000"/>
                <w:sz w:val="18"/>
                <w:szCs w:val="18"/>
                <w:lang w:val="el-GR"/>
              </w:rPr>
            </w:pPr>
          </w:p>
        </w:tc>
        <w:tc>
          <w:tcPr>
            <w:tcW w:w="1922" w:type="dxa"/>
            <w:gridSpan w:val="2"/>
            <w:tcBorders>
              <w:top w:val="single" w:sz="2" w:space="0" w:color="808080" w:themeColor="background1" w:themeShade="80"/>
            </w:tcBorders>
            <w:shd w:val="clear" w:color="auto" w:fill="FFFFFF" w:themeFill="background1"/>
            <w:vAlign w:val="center"/>
          </w:tcPr>
          <w:p w14:paraId="70ED7D98" w14:textId="146466D5" w:rsidR="0039249F" w:rsidRPr="007E5ABB" w:rsidRDefault="0039249F" w:rsidP="007F66CC">
            <w:pPr>
              <w:pStyle w:val="ColorfulList-Accent11"/>
              <w:tabs>
                <w:tab w:val="left" w:pos="0"/>
                <w:tab w:val="left" w:pos="284"/>
              </w:tabs>
              <w:ind w:left="0" w:right="-90"/>
              <w:jc w:val="center"/>
              <w:rPr>
                <w:rFonts w:ascii="Arial" w:hAnsi="Arial" w:cs="Arial"/>
                <w:b/>
                <w:color w:val="FF0000"/>
                <w:sz w:val="18"/>
                <w:szCs w:val="18"/>
                <w:lang w:val="el-GR"/>
              </w:rPr>
            </w:pPr>
          </w:p>
        </w:tc>
      </w:tr>
      <w:tr w:rsidR="005D65C5" w:rsidRPr="007E5ABB" w14:paraId="6ABCE73C" w14:textId="77777777" w:rsidTr="00336B42">
        <w:trPr>
          <w:trHeight w:val="45"/>
        </w:trPr>
        <w:tc>
          <w:tcPr>
            <w:tcW w:w="6805" w:type="dxa"/>
            <w:tcBorders>
              <w:right w:val="single" w:sz="4" w:space="0" w:color="auto"/>
            </w:tcBorders>
            <w:shd w:val="clear" w:color="auto" w:fill="FFFFFF" w:themeFill="background1"/>
            <w:vAlign w:val="center"/>
          </w:tcPr>
          <w:p w14:paraId="2E13B2C8" w14:textId="2317019B" w:rsidR="00E820CC" w:rsidRPr="007E5ABB" w:rsidRDefault="00E820CC" w:rsidP="00E820CC">
            <w:pPr>
              <w:pStyle w:val="ColorfulList-Accent11"/>
              <w:tabs>
                <w:tab w:val="left" w:pos="0"/>
                <w:tab w:val="left" w:pos="284"/>
              </w:tabs>
              <w:ind w:left="0" w:right="-90"/>
              <w:rPr>
                <w:rFonts w:ascii="Arial" w:hAnsi="Arial" w:cs="Arial"/>
                <w:b/>
                <w:sz w:val="18"/>
                <w:szCs w:val="18"/>
              </w:rPr>
            </w:pPr>
            <w:r w:rsidRPr="007E5ABB">
              <w:rPr>
                <w:rFonts w:ascii="Arial" w:hAnsi="Arial" w:cs="Arial"/>
                <w:sz w:val="18"/>
                <w:szCs w:val="18"/>
              </w:rPr>
              <w:t>Απόκτηση ιδίων μετοχών</w:t>
            </w:r>
          </w:p>
        </w:tc>
        <w:tc>
          <w:tcPr>
            <w:tcW w:w="1354" w:type="dxa"/>
            <w:tcBorders>
              <w:left w:val="single" w:sz="4" w:space="0" w:color="auto"/>
            </w:tcBorders>
            <w:shd w:val="clear" w:color="auto" w:fill="FFFFFF" w:themeFill="background1"/>
            <w:vAlign w:val="center"/>
          </w:tcPr>
          <w:p w14:paraId="29A5AB86" w14:textId="2DC986ED"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sz w:val="18"/>
                <w:szCs w:val="18"/>
              </w:rPr>
              <w:t>(28</w:t>
            </w:r>
            <w:r w:rsidR="00454299">
              <w:rPr>
                <w:rFonts w:ascii="Arial" w:hAnsi="Arial" w:cs="Arial"/>
                <w:sz w:val="18"/>
                <w:szCs w:val="18"/>
              </w:rPr>
              <w:t>,</w:t>
            </w:r>
            <w:r w:rsidRPr="00C31C28">
              <w:rPr>
                <w:rFonts w:ascii="Arial" w:hAnsi="Arial" w:cs="Arial"/>
                <w:sz w:val="18"/>
                <w:szCs w:val="18"/>
              </w:rPr>
              <w:t>8)</w:t>
            </w:r>
          </w:p>
        </w:tc>
        <w:tc>
          <w:tcPr>
            <w:tcW w:w="1922" w:type="dxa"/>
            <w:gridSpan w:val="2"/>
            <w:shd w:val="clear" w:color="auto" w:fill="FFFFFF" w:themeFill="background1"/>
            <w:vAlign w:val="center"/>
          </w:tcPr>
          <w:p w14:paraId="53B201AE" w14:textId="5C296558"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sz w:val="18"/>
                <w:szCs w:val="18"/>
              </w:rPr>
              <w:t>(15</w:t>
            </w:r>
            <w:r w:rsidR="00454299">
              <w:rPr>
                <w:rFonts w:ascii="Arial" w:hAnsi="Arial" w:cs="Arial"/>
                <w:sz w:val="18"/>
                <w:szCs w:val="18"/>
              </w:rPr>
              <w:t>,</w:t>
            </w:r>
            <w:r w:rsidRPr="00C31C28">
              <w:rPr>
                <w:rFonts w:ascii="Arial" w:hAnsi="Arial" w:cs="Arial"/>
                <w:sz w:val="18"/>
                <w:szCs w:val="18"/>
              </w:rPr>
              <w:t>8)</w:t>
            </w:r>
          </w:p>
        </w:tc>
      </w:tr>
      <w:tr w:rsidR="005D65C5" w:rsidRPr="007E5ABB" w14:paraId="54560CD8" w14:textId="77777777" w:rsidTr="00336B42">
        <w:trPr>
          <w:trHeight w:val="186"/>
        </w:trPr>
        <w:tc>
          <w:tcPr>
            <w:tcW w:w="6805" w:type="dxa"/>
            <w:tcBorders>
              <w:right w:val="single" w:sz="4" w:space="0" w:color="auto"/>
            </w:tcBorders>
            <w:shd w:val="clear" w:color="auto" w:fill="FFFFFF" w:themeFill="background1"/>
            <w:vAlign w:val="center"/>
          </w:tcPr>
          <w:p w14:paraId="43868E3D" w14:textId="01B35E08"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Αποπληρωμή υποχρεώσεων από μισθώσεις</w:t>
            </w:r>
          </w:p>
        </w:tc>
        <w:tc>
          <w:tcPr>
            <w:tcW w:w="1354" w:type="dxa"/>
            <w:tcBorders>
              <w:left w:val="single" w:sz="4" w:space="0" w:color="auto"/>
            </w:tcBorders>
            <w:shd w:val="clear" w:color="auto" w:fill="FFFFFF" w:themeFill="background1"/>
            <w:vAlign w:val="center"/>
          </w:tcPr>
          <w:p w14:paraId="1C0B8311" w14:textId="1ACB890F" w:rsidR="00E820CC" w:rsidRPr="007E5ABB" w:rsidRDefault="00E820CC" w:rsidP="00E820CC">
            <w:pPr>
              <w:pStyle w:val="ColorfulList-Accent11"/>
              <w:tabs>
                <w:tab w:val="left" w:pos="0"/>
                <w:tab w:val="left" w:pos="284"/>
              </w:tabs>
              <w:ind w:left="0" w:right="-90"/>
              <w:jc w:val="center"/>
              <w:rPr>
                <w:rFonts w:ascii="Arial" w:hAnsi="Arial" w:cs="Arial"/>
                <w:sz w:val="18"/>
                <w:szCs w:val="18"/>
              </w:rPr>
            </w:pPr>
            <w:r w:rsidRPr="00C31C28">
              <w:rPr>
                <w:rFonts w:ascii="Arial" w:hAnsi="Arial" w:cs="Arial"/>
                <w:sz w:val="18"/>
                <w:szCs w:val="18"/>
              </w:rPr>
              <w:t>(12</w:t>
            </w:r>
            <w:r w:rsidR="00454299">
              <w:rPr>
                <w:rFonts w:ascii="Arial" w:hAnsi="Arial" w:cs="Arial"/>
                <w:sz w:val="18"/>
                <w:szCs w:val="18"/>
              </w:rPr>
              <w:t>,</w:t>
            </w:r>
            <w:r w:rsidRPr="00C31C28">
              <w:rPr>
                <w:rFonts w:ascii="Arial" w:hAnsi="Arial" w:cs="Arial"/>
                <w:sz w:val="18"/>
                <w:szCs w:val="18"/>
              </w:rPr>
              <w:t>9)</w:t>
            </w:r>
          </w:p>
        </w:tc>
        <w:tc>
          <w:tcPr>
            <w:tcW w:w="1922" w:type="dxa"/>
            <w:gridSpan w:val="2"/>
            <w:shd w:val="clear" w:color="auto" w:fill="FFFFFF" w:themeFill="background1"/>
            <w:vAlign w:val="center"/>
          </w:tcPr>
          <w:p w14:paraId="00AFF2E7" w14:textId="2FB9AB86" w:rsidR="00E820CC" w:rsidRPr="007E5ABB" w:rsidRDefault="00E820CC" w:rsidP="00E820CC">
            <w:pPr>
              <w:pStyle w:val="ColorfulList-Accent11"/>
              <w:tabs>
                <w:tab w:val="left" w:pos="0"/>
                <w:tab w:val="left" w:pos="284"/>
              </w:tabs>
              <w:ind w:left="0" w:right="-90"/>
              <w:jc w:val="center"/>
              <w:rPr>
                <w:rFonts w:ascii="Arial" w:hAnsi="Arial" w:cs="Arial"/>
                <w:sz w:val="18"/>
                <w:szCs w:val="18"/>
              </w:rPr>
            </w:pPr>
            <w:r w:rsidRPr="00C31C28">
              <w:rPr>
                <w:rFonts w:ascii="Arial" w:hAnsi="Arial" w:cs="Arial"/>
                <w:sz w:val="18"/>
                <w:szCs w:val="18"/>
              </w:rPr>
              <w:t>(11</w:t>
            </w:r>
            <w:r w:rsidR="00454299">
              <w:rPr>
                <w:rFonts w:ascii="Arial" w:hAnsi="Arial" w:cs="Arial"/>
                <w:sz w:val="18"/>
                <w:szCs w:val="18"/>
              </w:rPr>
              <w:t>,</w:t>
            </w:r>
            <w:r w:rsidRPr="00C31C28">
              <w:rPr>
                <w:rFonts w:ascii="Arial" w:hAnsi="Arial" w:cs="Arial"/>
                <w:sz w:val="18"/>
                <w:szCs w:val="18"/>
              </w:rPr>
              <w:t>5)</w:t>
            </w:r>
          </w:p>
        </w:tc>
      </w:tr>
      <w:tr w:rsidR="005D65C5" w:rsidRPr="007E5ABB" w14:paraId="32A1F045" w14:textId="77777777" w:rsidTr="00336B42">
        <w:trPr>
          <w:trHeight w:val="186"/>
        </w:trPr>
        <w:tc>
          <w:tcPr>
            <w:tcW w:w="6805" w:type="dxa"/>
            <w:tcBorders>
              <w:right w:val="single" w:sz="4" w:space="0" w:color="auto"/>
            </w:tcBorders>
            <w:shd w:val="clear" w:color="auto" w:fill="FFFFFF" w:themeFill="background1"/>
            <w:vAlign w:val="center"/>
          </w:tcPr>
          <w:p w14:paraId="2F764A5D" w14:textId="193D78A0"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Χρηματοοικονομικές υποχρεώσεις σχετιζόμενες με ηλεκτρονικά πορτοφόλια</w:t>
            </w:r>
          </w:p>
        </w:tc>
        <w:tc>
          <w:tcPr>
            <w:tcW w:w="1354" w:type="dxa"/>
            <w:tcBorders>
              <w:left w:val="single" w:sz="4" w:space="0" w:color="auto"/>
            </w:tcBorders>
            <w:shd w:val="clear" w:color="auto" w:fill="FFFFFF" w:themeFill="background1"/>
            <w:vAlign w:val="center"/>
          </w:tcPr>
          <w:p w14:paraId="11233931" w14:textId="7ABC359F"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sz w:val="18"/>
                <w:szCs w:val="18"/>
              </w:rPr>
              <w:t>(0</w:t>
            </w:r>
            <w:r w:rsidR="00454299">
              <w:rPr>
                <w:rFonts w:ascii="Arial" w:hAnsi="Arial" w:cs="Arial"/>
                <w:sz w:val="18"/>
                <w:szCs w:val="18"/>
              </w:rPr>
              <w:t>,</w:t>
            </w:r>
            <w:r w:rsidRPr="00C31C28">
              <w:rPr>
                <w:rFonts w:ascii="Arial" w:hAnsi="Arial" w:cs="Arial"/>
                <w:sz w:val="18"/>
                <w:szCs w:val="18"/>
              </w:rPr>
              <w:t>7)</w:t>
            </w:r>
          </w:p>
        </w:tc>
        <w:tc>
          <w:tcPr>
            <w:tcW w:w="1922" w:type="dxa"/>
            <w:gridSpan w:val="2"/>
            <w:shd w:val="clear" w:color="auto" w:fill="FFFFFF" w:themeFill="background1"/>
            <w:vAlign w:val="center"/>
          </w:tcPr>
          <w:p w14:paraId="0F55D629" w14:textId="4BEA9815"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sz w:val="18"/>
                <w:szCs w:val="18"/>
              </w:rPr>
              <w:t>(0</w:t>
            </w:r>
            <w:r w:rsidR="00454299">
              <w:rPr>
                <w:rFonts w:ascii="Arial" w:hAnsi="Arial" w:cs="Arial"/>
                <w:sz w:val="18"/>
                <w:szCs w:val="18"/>
              </w:rPr>
              <w:t>,</w:t>
            </w:r>
            <w:r w:rsidRPr="00C31C28">
              <w:rPr>
                <w:rFonts w:ascii="Arial" w:hAnsi="Arial" w:cs="Arial"/>
                <w:sz w:val="18"/>
                <w:szCs w:val="18"/>
              </w:rPr>
              <w:t>1)</w:t>
            </w:r>
          </w:p>
        </w:tc>
      </w:tr>
      <w:tr w:rsidR="005D65C5" w:rsidRPr="007E5ABB" w14:paraId="1137C757" w14:textId="77777777" w:rsidTr="00336B42">
        <w:trPr>
          <w:trHeight w:val="186"/>
        </w:trPr>
        <w:tc>
          <w:tcPr>
            <w:tcW w:w="6805" w:type="dxa"/>
            <w:tcBorders>
              <w:bottom w:val="single" w:sz="4" w:space="0" w:color="auto"/>
              <w:right w:val="single" w:sz="4" w:space="0" w:color="auto"/>
            </w:tcBorders>
            <w:shd w:val="clear" w:color="auto" w:fill="FFFFFF" w:themeFill="background1"/>
            <w:vAlign w:val="center"/>
          </w:tcPr>
          <w:p w14:paraId="0F8A5C6A" w14:textId="5239EEEA"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sz w:val="18"/>
                <w:szCs w:val="18"/>
                <w:lang w:val="el-GR"/>
              </w:rPr>
              <w:t>Μερίσματα πληρωθέντα σε μετόχους της εταιρείας</w:t>
            </w:r>
          </w:p>
        </w:tc>
        <w:tc>
          <w:tcPr>
            <w:tcW w:w="1354" w:type="dxa"/>
            <w:tcBorders>
              <w:left w:val="single" w:sz="4" w:space="0" w:color="auto"/>
              <w:bottom w:val="single" w:sz="4" w:space="0" w:color="auto"/>
            </w:tcBorders>
            <w:shd w:val="clear" w:color="auto" w:fill="FFFFFF" w:themeFill="background1"/>
            <w:vAlign w:val="center"/>
          </w:tcPr>
          <w:p w14:paraId="4A08032F" w14:textId="077F0DC2"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sidRPr="00C31C28">
              <w:rPr>
                <w:rFonts w:ascii="Arial" w:hAnsi="Arial" w:cs="Arial"/>
                <w:sz w:val="18"/>
                <w:szCs w:val="18"/>
              </w:rPr>
              <w:t>(0</w:t>
            </w:r>
            <w:r w:rsidR="00454299">
              <w:rPr>
                <w:rFonts w:ascii="Arial" w:hAnsi="Arial" w:cs="Arial"/>
                <w:sz w:val="18"/>
                <w:szCs w:val="18"/>
              </w:rPr>
              <w:t>,</w:t>
            </w:r>
            <w:r w:rsidRPr="00C31C28">
              <w:rPr>
                <w:rFonts w:ascii="Arial" w:hAnsi="Arial" w:cs="Arial"/>
                <w:sz w:val="18"/>
                <w:szCs w:val="18"/>
              </w:rPr>
              <w:t>7)</w:t>
            </w:r>
          </w:p>
        </w:tc>
        <w:tc>
          <w:tcPr>
            <w:tcW w:w="1922" w:type="dxa"/>
            <w:gridSpan w:val="2"/>
            <w:tcBorders>
              <w:bottom w:val="single" w:sz="4" w:space="0" w:color="auto"/>
            </w:tcBorders>
            <w:shd w:val="clear" w:color="auto" w:fill="FFFFFF" w:themeFill="background1"/>
            <w:vAlign w:val="center"/>
          </w:tcPr>
          <w:p w14:paraId="306EF027" w14:textId="76AF547C"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sidRPr="00C31C28">
              <w:rPr>
                <w:rFonts w:ascii="Arial" w:hAnsi="Arial" w:cs="Arial"/>
                <w:sz w:val="18"/>
                <w:szCs w:val="18"/>
              </w:rPr>
              <w:t>-</w:t>
            </w:r>
          </w:p>
        </w:tc>
      </w:tr>
      <w:tr w:rsidR="005D65C5" w:rsidRPr="007E5ABB" w14:paraId="2213B2EA" w14:textId="77777777" w:rsidTr="00336B42">
        <w:trPr>
          <w:trHeight w:val="237"/>
        </w:trPr>
        <w:tc>
          <w:tcPr>
            <w:tcW w:w="6805" w:type="dxa"/>
            <w:tcBorders>
              <w:bottom w:val="single" w:sz="4" w:space="0" w:color="auto"/>
              <w:right w:val="single" w:sz="4" w:space="0" w:color="auto"/>
            </w:tcBorders>
            <w:shd w:val="clear" w:color="auto" w:fill="FFFFFF" w:themeFill="background1"/>
            <w:vAlign w:val="center"/>
          </w:tcPr>
          <w:p w14:paraId="3E2B1ED3" w14:textId="65A734D6" w:rsidR="00E820CC" w:rsidRPr="00FB20CB" w:rsidRDefault="00E820CC" w:rsidP="00E820CC">
            <w:pPr>
              <w:pStyle w:val="Default"/>
              <w:rPr>
                <w:rFonts w:ascii="Arial" w:hAnsi="Arial" w:cs="Arial"/>
                <w:sz w:val="18"/>
                <w:szCs w:val="18"/>
                <w:lang w:val="el-GR"/>
              </w:rPr>
            </w:pPr>
            <w:r w:rsidRPr="00FB20CB">
              <w:rPr>
                <w:rFonts w:ascii="Arial" w:hAnsi="Arial" w:cs="Arial"/>
                <w:sz w:val="18"/>
                <w:szCs w:val="18"/>
                <w:lang w:val="el-GR"/>
              </w:rPr>
              <w:t xml:space="preserve">Καθαρές ταμειακές ροές από χρηματοδοτικές δραστηριότητες διακοπεισών δραστηριοτήτων </w:t>
            </w:r>
          </w:p>
        </w:tc>
        <w:tc>
          <w:tcPr>
            <w:tcW w:w="1354" w:type="dxa"/>
            <w:tcBorders>
              <w:left w:val="single" w:sz="4" w:space="0" w:color="auto"/>
              <w:bottom w:val="single" w:sz="4" w:space="0" w:color="auto"/>
            </w:tcBorders>
            <w:shd w:val="clear" w:color="auto" w:fill="FFFFFF" w:themeFill="background1"/>
            <w:vAlign w:val="center"/>
          </w:tcPr>
          <w:p w14:paraId="174A4DB6" w14:textId="7229A044"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sidRPr="00C31C28">
              <w:rPr>
                <w:rFonts w:ascii="Arial" w:hAnsi="Arial" w:cs="Arial"/>
                <w:sz w:val="18"/>
                <w:szCs w:val="18"/>
              </w:rPr>
              <w:t>-</w:t>
            </w:r>
          </w:p>
        </w:tc>
        <w:tc>
          <w:tcPr>
            <w:tcW w:w="1922" w:type="dxa"/>
            <w:gridSpan w:val="2"/>
            <w:tcBorders>
              <w:bottom w:val="single" w:sz="4" w:space="0" w:color="auto"/>
            </w:tcBorders>
            <w:shd w:val="clear" w:color="auto" w:fill="FFFFFF" w:themeFill="background1"/>
            <w:vAlign w:val="center"/>
          </w:tcPr>
          <w:p w14:paraId="1893F66B" w14:textId="0EC56182" w:rsidR="00E820CC" w:rsidRPr="007E5ABB" w:rsidRDefault="00E820CC" w:rsidP="00E820CC">
            <w:pPr>
              <w:pStyle w:val="ColorfulList-Accent11"/>
              <w:tabs>
                <w:tab w:val="left" w:pos="0"/>
                <w:tab w:val="left" w:pos="284"/>
              </w:tabs>
              <w:ind w:left="0" w:right="-90"/>
              <w:jc w:val="center"/>
              <w:rPr>
                <w:rFonts w:ascii="Arial" w:hAnsi="Arial" w:cs="Arial"/>
                <w:sz w:val="18"/>
                <w:szCs w:val="18"/>
                <w:lang w:val="el-GR"/>
              </w:rPr>
            </w:pPr>
            <w:r w:rsidRPr="00C31C28">
              <w:rPr>
                <w:rFonts w:ascii="Arial" w:hAnsi="Arial" w:cs="Arial"/>
                <w:sz w:val="18"/>
                <w:szCs w:val="18"/>
              </w:rPr>
              <w:t>(4</w:t>
            </w:r>
            <w:r w:rsidR="00454299">
              <w:rPr>
                <w:rFonts w:ascii="Arial" w:hAnsi="Arial" w:cs="Arial"/>
                <w:sz w:val="18"/>
                <w:szCs w:val="18"/>
              </w:rPr>
              <w:t>,</w:t>
            </w:r>
            <w:r w:rsidRPr="00C31C28">
              <w:rPr>
                <w:rFonts w:ascii="Arial" w:hAnsi="Arial" w:cs="Arial"/>
                <w:sz w:val="18"/>
                <w:szCs w:val="18"/>
              </w:rPr>
              <w:t>7)</w:t>
            </w:r>
          </w:p>
        </w:tc>
      </w:tr>
      <w:tr w:rsidR="005D65C5" w:rsidRPr="007E5ABB" w14:paraId="3E3E5A52" w14:textId="77777777" w:rsidTr="00336B42">
        <w:trPr>
          <w:trHeight w:val="186"/>
        </w:trPr>
        <w:tc>
          <w:tcPr>
            <w:tcW w:w="6805" w:type="dxa"/>
            <w:tcBorders>
              <w:top w:val="single" w:sz="4" w:space="0" w:color="auto"/>
              <w:bottom w:val="single" w:sz="2" w:space="0" w:color="808080" w:themeColor="background1" w:themeShade="80"/>
              <w:right w:val="single" w:sz="4" w:space="0" w:color="auto"/>
            </w:tcBorders>
            <w:shd w:val="clear" w:color="auto" w:fill="F2F2F2" w:themeFill="background1" w:themeFillShade="F2"/>
            <w:vAlign w:val="center"/>
          </w:tcPr>
          <w:p w14:paraId="5C36933C" w14:textId="0308F7C8" w:rsidR="00E820CC" w:rsidRPr="007E5ABB" w:rsidRDefault="00E820CC" w:rsidP="00E820CC">
            <w:pPr>
              <w:pStyle w:val="ColorfulList-Accent11"/>
              <w:tabs>
                <w:tab w:val="left" w:pos="0"/>
                <w:tab w:val="left" w:pos="284"/>
              </w:tabs>
              <w:ind w:left="0" w:right="-90"/>
              <w:rPr>
                <w:rFonts w:ascii="Arial" w:hAnsi="Arial" w:cs="Arial"/>
                <w:sz w:val="18"/>
                <w:szCs w:val="18"/>
                <w:lang w:val="el-GR"/>
              </w:rPr>
            </w:pPr>
            <w:r w:rsidRPr="007E5ABB">
              <w:rPr>
                <w:rFonts w:ascii="Arial" w:hAnsi="Arial" w:cs="Arial"/>
                <w:b/>
                <w:bCs/>
                <w:sz w:val="18"/>
                <w:szCs w:val="18"/>
                <w:lang w:val="el-GR"/>
              </w:rPr>
              <w:t xml:space="preserve">Καθαρές ταμειακές εκροές από </w:t>
            </w:r>
            <w:r w:rsidRPr="00FB20CB">
              <w:rPr>
                <w:rFonts w:ascii="Arial" w:hAnsi="Arial" w:cs="Arial"/>
                <w:b/>
                <w:bCs/>
                <w:sz w:val="18"/>
                <w:szCs w:val="18"/>
                <w:lang w:val="el-GR"/>
              </w:rPr>
              <w:t>χρημ</w:t>
            </w:r>
            <w:r w:rsidRPr="007E5C37">
              <w:rPr>
                <w:rFonts w:ascii="Arial" w:hAnsi="Arial" w:cs="Arial"/>
                <w:b/>
                <w:bCs/>
                <w:sz w:val="18"/>
                <w:szCs w:val="18"/>
                <w:lang w:val="el-GR"/>
              </w:rPr>
              <w:t>/</w:t>
            </w:r>
            <w:r w:rsidRPr="00FB20CB">
              <w:rPr>
                <w:rFonts w:ascii="Arial" w:hAnsi="Arial" w:cs="Arial"/>
                <w:b/>
                <w:bCs/>
                <w:sz w:val="18"/>
                <w:szCs w:val="18"/>
                <w:lang w:val="el-GR"/>
              </w:rPr>
              <w:t>κές</w:t>
            </w:r>
            <w:r w:rsidRPr="007E5ABB">
              <w:rPr>
                <w:rFonts w:ascii="Arial" w:hAnsi="Arial" w:cs="Arial"/>
                <w:b/>
                <w:bCs/>
                <w:sz w:val="18"/>
                <w:szCs w:val="18"/>
                <w:lang w:val="el-GR"/>
              </w:rPr>
              <w:t xml:space="preserve"> δραστηριότητες</w:t>
            </w:r>
          </w:p>
        </w:tc>
        <w:tc>
          <w:tcPr>
            <w:tcW w:w="1354" w:type="dxa"/>
            <w:tcBorders>
              <w:top w:val="single" w:sz="4" w:space="0" w:color="auto"/>
              <w:left w:val="single" w:sz="4" w:space="0" w:color="auto"/>
              <w:bottom w:val="single" w:sz="2" w:space="0" w:color="808080" w:themeColor="background1" w:themeShade="80"/>
            </w:tcBorders>
            <w:shd w:val="clear" w:color="auto" w:fill="F2F2F2" w:themeFill="background1" w:themeFillShade="F2"/>
            <w:vAlign w:val="center"/>
          </w:tcPr>
          <w:p w14:paraId="431FD54E" w14:textId="6E4C8E19"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sidRPr="00C31C28">
              <w:rPr>
                <w:rFonts w:ascii="Arial" w:hAnsi="Arial" w:cs="Arial"/>
                <w:b/>
                <w:sz w:val="18"/>
                <w:szCs w:val="18"/>
              </w:rPr>
              <w:t>(</w:t>
            </w:r>
            <w:r w:rsidRPr="00C31C28">
              <w:rPr>
                <w:rFonts w:ascii="Arial" w:hAnsi="Arial" w:cs="Arial"/>
                <w:b/>
                <w:bCs/>
                <w:sz w:val="18"/>
                <w:szCs w:val="18"/>
              </w:rPr>
              <w:t>43</w:t>
            </w:r>
            <w:r w:rsidR="00454299">
              <w:rPr>
                <w:rFonts w:ascii="Arial" w:hAnsi="Arial" w:cs="Arial"/>
                <w:b/>
                <w:bCs/>
                <w:sz w:val="18"/>
                <w:szCs w:val="18"/>
              </w:rPr>
              <w:t>,</w:t>
            </w:r>
            <w:r w:rsidRPr="00C31C28">
              <w:rPr>
                <w:rFonts w:ascii="Arial" w:hAnsi="Arial" w:cs="Arial"/>
                <w:b/>
                <w:bCs/>
                <w:sz w:val="18"/>
                <w:szCs w:val="18"/>
              </w:rPr>
              <w:t>1</w:t>
            </w:r>
            <w:r w:rsidRPr="00C31C28">
              <w:rPr>
                <w:rFonts w:ascii="Arial" w:hAnsi="Arial" w:cs="Arial"/>
                <w:b/>
                <w:sz w:val="18"/>
                <w:szCs w:val="18"/>
              </w:rPr>
              <w:t>)</w:t>
            </w:r>
          </w:p>
        </w:tc>
        <w:tc>
          <w:tcPr>
            <w:tcW w:w="1922" w:type="dxa"/>
            <w:gridSpan w:val="2"/>
            <w:tcBorders>
              <w:top w:val="single" w:sz="4" w:space="0" w:color="auto"/>
              <w:bottom w:val="single" w:sz="2" w:space="0" w:color="808080" w:themeColor="background1" w:themeShade="80"/>
            </w:tcBorders>
            <w:shd w:val="clear" w:color="auto" w:fill="F2F2F2" w:themeFill="background1" w:themeFillShade="F2"/>
            <w:vAlign w:val="center"/>
          </w:tcPr>
          <w:p w14:paraId="3746FC7C" w14:textId="7AE660F4"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lang w:val="el-GR"/>
              </w:rPr>
            </w:pPr>
            <w:r w:rsidRPr="00C31C28">
              <w:rPr>
                <w:rFonts w:ascii="Arial" w:hAnsi="Arial" w:cs="Arial"/>
                <w:b/>
                <w:sz w:val="18"/>
                <w:szCs w:val="18"/>
              </w:rPr>
              <w:t>(</w:t>
            </w:r>
            <w:r w:rsidRPr="00C31C28">
              <w:rPr>
                <w:rFonts w:ascii="Arial" w:hAnsi="Arial" w:cs="Arial"/>
                <w:b/>
                <w:bCs/>
                <w:sz w:val="18"/>
                <w:szCs w:val="18"/>
              </w:rPr>
              <w:t>32</w:t>
            </w:r>
            <w:r w:rsidR="00454299">
              <w:rPr>
                <w:rFonts w:ascii="Arial" w:hAnsi="Arial" w:cs="Arial"/>
                <w:b/>
                <w:bCs/>
                <w:sz w:val="18"/>
                <w:szCs w:val="18"/>
              </w:rPr>
              <w:t>,</w:t>
            </w:r>
            <w:r w:rsidRPr="00C31C28">
              <w:rPr>
                <w:rFonts w:ascii="Arial" w:hAnsi="Arial" w:cs="Arial"/>
                <w:b/>
                <w:bCs/>
                <w:sz w:val="18"/>
                <w:szCs w:val="18"/>
              </w:rPr>
              <w:t>1</w:t>
            </w:r>
            <w:r w:rsidRPr="00C31C28">
              <w:rPr>
                <w:rFonts w:ascii="Arial" w:hAnsi="Arial" w:cs="Arial"/>
                <w:b/>
                <w:sz w:val="18"/>
                <w:szCs w:val="18"/>
              </w:rPr>
              <w:t>)</w:t>
            </w:r>
          </w:p>
        </w:tc>
      </w:tr>
      <w:tr w:rsidR="005D65C5" w:rsidRPr="007E5ABB" w14:paraId="736546C7" w14:textId="77777777" w:rsidTr="00336B42">
        <w:trPr>
          <w:trHeight w:val="240"/>
        </w:trPr>
        <w:tc>
          <w:tcPr>
            <w:tcW w:w="6805"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26F06FAE" w14:textId="2D41DBF2" w:rsidR="00E820CC" w:rsidRPr="007E5ABB" w:rsidRDefault="00E820CC" w:rsidP="00E820C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bCs/>
                <w:sz w:val="18"/>
                <w:szCs w:val="18"/>
                <w:lang w:val="el-GR"/>
              </w:rPr>
              <w:t xml:space="preserve">Καθαρή αύξηση ταμειακών διαθεσίμων και ταμειακών ισοδυνάμων </w:t>
            </w:r>
          </w:p>
        </w:tc>
        <w:tc>
          <w:tcPr>
            <w:tcW w:w="1354"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3897F8ED" w14:textId="0B08038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b/>
                <w:sz w:val="18"/>
                <w:szCs w:val="18"/>
              </w:rPr>
              <w:t>30</w:t>
            </w:r>
            <w:r w:rsidR="00454299">
              <w:rPr>
                <w:rFonts w:ascii="Arial" w:hAnsi="Arial" w:cs="Arial"/>
                <w:b/>
                <w:sz w:val="18"/>
                <w:szCs w:val="18"/>
              </w:rPr>
              <w:t>,</w:t>
            </w:r>
            <w:r w:rsidRPr="00C31C28">
              <w:rPr>
                <w:rFonts w:ascii="Arial" w:hAnsi="Arial" w:cs="Arial"/>
                <w:b/>
                <w:sz w:val="18"/>
                <w:szCs w:val="18"/>
              </w:rPr>
              <w:t>0</w:t>
            </w:r>
          </w:p>
        </w:tc>
        <w:tc>
          <w:tcPr>
            <w:tcW w:w="1922" w:type="dxa"/>
            <w:gridSpan w:val="2"/>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9355D5C" w14:textId="2A260E67" w:rsidR="00E820CC" w:rsidRPr="007E5ABB" w:rsidRDefault="00E820CC" w:rsidP="00E820CC">
            <w:pPr>
              <w:pStyle w:val="ColorfulList-Accent11"/>
              <w:tabs>
                <w:tab w:val="left" w:pos="0"/>
                <w:tab w:val="left" w:pos="284"/>
              </w:tabs>
              <w:ind w:left="0" w:right="-90"/>
              <w:jc w:val="center"/>
              <w:rPr>
                <w:rFonts w:ascii="Arial" w:hAnsi="Arial" w:cs="Arial"/>
                <w:color w:val="FF0000"/>
                <w:sz w:val="18"/>
                <w:szCs w:val="18"/>
              </w:rPr>
            </w:pPr>
            <w:r w:rsidRPr="00C31C28">
              <w:rPr>
                <w:rFonts w:ascii="Arial" w:hAnsi="Arial" w:cs="Arial"/>
                <w:b/>
                <w:sz w:val="18"/>
                <w:szCs w:val="18"/>
              </w:rPr>
              <w:t>83</w:t>
            </w:r>
            <w:r w:rsidR="00454299">
              <w:rPr>
                <w:rFonts w:ascii="Arial" w:hAnsi="Arial" w:cs="Arial"/>
                <w:b/>
                <w:sz w:val="18"/>
                <w:szCs w:val="18"/>
              </w:rPr>
              <w:t>,</w:t>
            </w:r>
            <w:r w:rsidRPr="00C31C28">
              <w:rPr>
                <w:rFonts w:ascii="Arial" w:hAnsi="Arial" w:cs="Arial"/>
                <w:b/>
                <w:sz w:val="18"/>
                <w:szCs w:val="18"/>
              </w:rPr>
              <w:t>0</w:t>
            </w:r>
          </w:p>
        </w:tc>
      </w:tr>
      <w:tr w:rsidR="0046090F" w:rsidRPr="007E5ABB" w14:paraId="421F1A14" w14:textId="77777777" w:rsidTr="00336B42">
        <w:trPr>
          <w:trHeight w:val="245"/>
        </w:trPr>
        <w:tc>
          <w:tcPr>
            <w:tcW w:w="6805" w:type="dxa"/>
            <w:tcBorders>
              <w:top w:val="single" w:sz="2" w:space="0" w:color="808080" w:themeColor="background1" w:themeShade="80"/>
              <w:right w:val="single" w:sz="4" w:space="0" w:color="auto"/>
            </w:tcBorders>
            <w:vAlign w:val="center"/>
          </w:tcPr>
          <w:p w14:paraId="7A820958" w14:textId="1B4A020F" w:rsidR="00E820CC" w:rsidRPr="007E5ABB" w:rsidRDefault="00E820CC" w:rsidP="00E820C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 xml:space="preserve">Ταμειακά διαθέσιμα και ταμειακά ισοδύναμα έναρξης περιόδου </w:t>
            </w:r>
          </w:p>
        </w:tc>
        <w:tc>
          <w:tcPr>
            <w:tcW w:w="1354" w:type="dxa"/>
            <w:tcBorders>
              <w:top w:val="single" w:sz="2" w:space="0" w:color="808080" w:themeColor="background1" w:themeShade="80"/>
              <w:left w:val="single" w:sz="4" w:space="0" w:color="auto"/>
            </w:tcBorders>
            <w:vAlign w:val="center"/>
          </w:tcPr>
          <w:p w14:paraId="6C90AAF4" w14:textId="487E8341" w:rsidR="00E820CC" w:rsidRPr="007E5ABB" w:rsidRDefault="00E820CC" w:rsidP="00E820CC">
            <w:pPr>
              <w:pStyle w:val="ColorfulList-Accent11"/>
              <w:tabs>
                <w:tab w:val="left" w:pos="0"/>
                <w:tab w:val="left" w:pos="284"/>
              </w:tabs>
              <w:ind w:left="0" w:right="-90"/>
              <w:jc w:val="center"/>
              <w:rPr>
                <w:rFonts w:ascii="Arial" w:hAnsi="Arial" w:cs="Arial"/>
                <w:b/>
                <w:color w:val="FF0000"/>
                <w:sz w:val="18"/>
                <w:szCs w:val="18"/>
              </w:rPr>
            </w:pPr>
            <w:r w:rsidRPr="00C31C28">
              <w:rPr>
                <w:rFonts w:ascii="Arial" w:hAnsi="Arial" w:cs="Arial"/>
                <w:sz w:val="18"/>
                <w:szCs w:val="18"/>
              </w:rPr>
              <w:t>520</w:t>
            </w:r>
            <w:r w:rsidR="00454299">
              <w:rPr>
                <w:rFonts w:ascii="Arial" w:hAnsi="Arial" w:cs="Arial"/>
                <w:sz w:val="18"/>
                <w:szCs w:val="18"/>
              </w:rPr>
              <w:t>,</w:t>
            </w:r>
            <w:r w:rsidRPr="00C31C28">
              <w:rPr>
                <w:rFonts w:ascii="Arial" w:hAnsi="Arial" w:cs="Arial"/>
                <w:sz w:val="18"/>
                <w:szCs w:val="18"/>
              </w:rPr>
              <w:t>9</w:t>
            </w:r>
          </w:p>
        </w:tc>
        <w:tc>
          <w:tcPr>
            <w:tcW w:w="1922" w:type="dxa"/>
            <w:gridSpan w:val="2"/>
            <w:tcBorders>
              <w:top w:val="single" w:sz="2" w:space="0" w:color="808080" w:themeColor="background1" w:themeShade="80"/>
            </w:tcBorders>
            <w:vAlign w:val="center"/>
          </w:tcPr>
          <w:p w14:paraId="04FB39E5" w14:textId="5A9DF743" w:rsidR="00E820CC" w:rsidRPr="007E5ABB" w:rsidRDefault="00E820CC" w:rsidP="00E820CC">
            <w:pPr>
              <w:pStyle w:val="ColorfulList-Accent11"/>
              <w:tabs>
                <w:tab w:val="left" w:pos="0"/>
                <w:tab w:val="left" w:pos="284"/>
              </w:tabs>
              <w:ind w:left="0" w:right="-90"/>
              <w:jc w:val="center"/>
              <w:rPr>
                <w:rFonts w:ascii="Arial" w:hAnsi="Arial" w:cs="Arial"/>
                <w:b/>
                <w:color w:val="FF0000"/>
                <w:sz w:val="18"/>
                <w:szCs w:val="18"/>
              </w:rPr>
            </w:pPr>
            <w:r w:rsidRPr="00C31C28">
              <w:rPr>
                <w:rFonts w:ascii="Arial" w:hAnsi="Arial" w:cs="Arial"/>
                <w:sz w:val="18"/>
                <w:szCs w:val="18"/>
              </w:rPr>
              <w:t>467</w:t>
            </w:r>
            <w:r w:rsidR="00454299">
              <w:rPr>
                <w:rFonts w:ascii="Arial" w:hAnsi="Arial" w:cs="Arial"/>
                <w:sz w:val="18"/>
                <w:szCs w:val="18"/>
              </w:rPr>
              <w:t>,</w:t>
            </w:r>
            <w:r w:rsidRPr="00C31C28">
              <w:rPr>
                <w:rFonts w:ascii="Arial" w:hAnsi="Arial" w:cs="Arial"/>
                <w:sz w:val="18"/>
                <w:szCs w:val="18"/>
              </w:rPr>
              <w:t>0</w:t>
            </w:r>
          </w:p>
        </w:tc>
      </w:tr>
      <w:tr w:rsidR="005D65C5" w:rsidRPr="007E5ABB" w14:paraId="2B21B94D" w14:textId="77777777" w:rsidTr="00336B42">
        <w:trPr>
          <w:trHeight w:val="136"/>
        </w:trPr>
        <w:tc>
          <w:tcPr>
            <w:tcW w:w="6805" w:type="dxa"/>
            <w:tcBorders>
              <w:right w:val="single" w:sz="4" w:space="0" w:color="auto"/>
            </w:tcBorders>
            <w:shd w:val="clear" w:color="auto" w:fill="FFFFFF" w:themeFill="background1"/>
            <w:vAlign w:val="center"/>
          </w:tcPr>
          <w:p w14:paraId="1386F158" w14:textId="26472615" w:rsidR="00E820CC" w:rsidRPr="007E5ABB" w:rsidRDefault="00E820CC" w:rsidP="00E820CC">
            <w:pPr>
              <w:pStyle w:val="ColorfulList-Accent11"/>
              <w:tabs>
                <w:tab w:val="left" w:pos="0"/>
                <w:tab w:val="left" w:pos="284"/>
              </w:tabs>
              <w:ind w:left="0" w:right="-90"/>
              <w:rPr>
                <w:rFonts w:ascii="Arial" w:hAnsi="Arial" w:cs="Arial"/>
                <w:b/>
                <w:sz w:val="18"/>
                <w:szCs w:val="18"/>
              </w:rPr>
            </w:pPr>
            <w:r w:rsidRPr="007E5ABB">
              <w:rPr>
                <w:rFonts w:ascii="Arial" w:hAnsi="Arial" w:cs="Arial"/>
                <w:sz w:val="18"/>
                <w:szCs w:val="18"/>
                <w:lang w:val="el-GR"/>
              </w:rPr>
              <w:t>Συναλλαγματικές διαφορές στα διαθέσιμα</w:t>
            </w:r>
          </w:p>
        </w:tc>
        <w:tc>
          <w:tcPr>
            <w:tcW w:w="1354" w:type="dxa"/>
            <w:tcBorders>
              <w:left w:val="single" w:sz="4" w:space="0" w:color="auto"/>
            </w:tcBorders>
            <w:shd w:val="clear" w:color="auto" w:fill="FFFFFF" w:themeFill="background1"/>
            <w:vAlign w:val="center"/>
          </w:tcPr>
          <w:p w14:paraId="11EAEDDF" w14:textId="678A2EC7" w:rsidR="00E820CC" w:rsidRPr="007E5ABB" w:rsidRDefault="00E820CC" w:rsidP="00E820CC">
            <w:pPr>
              <w:pStyle w:val="ColorfulList-Accent11"/>
              <w:tabs>
                <w:tab w:val="left" w:pos="0"/>
                <w:tab w:val="left" w:pos="284"/>
              </w:tabs>
              <w:ind w:left="0" w:right="-90"/>
              <w:jc w:val="center"/>
              <w:rPr>
                <w:rFonts w:ascii="Arial" w:hAnsi="Arial" w:cs="Arial"/>
                <w:b/>
                <w:bCs/>
                <w:color w:val="FF0000"/>
                <w:sz w:val="18"/>
                <w:szCs w:val="18"/>
              </w:rPr>
            </w:pPr>
            <w:r w:rsidRPr="00C31C28">
              <w:rPr>
                <w:rFonts w:ascii="Arial" w:hAnsi="Arial" w:cs="Arial"/>
                <w:sz w:val="18"/>
                <w:szCs w:val="18"/>
              </w:rPr>
              <w:t>0</w:t>
            </w:r>
            <w:r w:rsidR="00454299">
              <w:rPr>
                <w:rFonts w:ascii="Arial" w:hAnsi="Arial" w:cs="Arial"/>
                <w:sz w:val="18"/>
                <w:szCs w:val="18"/>
              </w:rPr>
              <w:t>,</w:t>
            </w:r>
            <w:r w:rsidRPr="00C31C28">
              <w:rPr>
                <w:rFonts w:ascii="Arial" w:hAnsi="Arial" w:cs="Arial"/>
                <w:sz w:val="18"/>
                <w:szCs w:val="18"/>
              </w:rPr>
              <w:t>1</w:t>
            </w:r>
          </w:p>
        </w:tc>
        <w:tc>
          <w:tcPr>
            <w:tcW w:w="1922" w:type="dxa"/>
            <w:gridSpan w:val="2"/>
            <w:shd w:val="clear" w:color="auto" w:fill="FFFFFF" w:themeFill="background1"/>
            <w:vAlign w:val="center"/>
          </w:tcPr>
          <w:p w14:paraId="7CB431B7" w14:textId="7196F81F" w:rsidR="00E820CC" w:rsidRPr="007E5ABB" w:rsidRDefault="00E820CC" w:rsidP="00E820CC">
            <w:pPr>
              <w:pStyle w:val="ColorfulList-Accent11"/>
              <w:tabs>
                <w:tab w:val="left" w:pos="0"/>
                <w:tab w:val="left" w:pos="284"/>
              </w:tabs>
              <w:ind w:left="0" w:right="-90"/>
              <w:jc w:val="center"/>
              <w:rPr>
                <w:rFonts w:ascii="Arial" w:hAnsi="Arial" w:cs="Arial"/>
                <w:b/>
                <w:bCs/>
                <w:color w:val="FF0000"/>
                <w:sz w:val="18"/>
                <w:szCs w:val="18"/>
              </w:rPr>
            </w:pPr>
            <w:r w:rsidRPr="00C31C28">
              <w:rPr>
                <w:rFonts w:ascii="Arial" w:hAnsi="Arial" w:cs="Arial"/>
                <w:sz w:val="18"/>
                <w:szCs w:val="18"/>
              </w:rPr>
              <w:t>(0</w:t>
            </w:r>
            <w:r w:rsidR="00454299">
              <w:rPr>
                <w:rFonts w:ascii="Arial" w:hAnsi="Arial" w:cs="Arial"/>
                <w:sz w:val="18"/>
                <w:szCs w:val="18"/>
              </w:rPr>
              <w:t>,</w:t>
            </w:r>
            <w:r w:rsidRPr="00C31C28">
              <w:rPr>
                <w:rFonts w:ascii="Arial" w:hAnsi="Arial" w:cs="Arial"/>
                <w:sz w:val="18"/>
                <w:szCs w:val="18"/>
              </w:rPr>
              <w:t>4)</w:t>
            </w:r>
          </w:p>
        </w:tc>
      </w:tr>
      <w:tr w:rsidR="005D65C5" w:rsidRPr="007E5ABB" w14:paraId="0987CD3D" w14:textId="77777777" w:rsidTr="00336B42">
        <w:trPr>
          <w:trHeight w:val="246"/>
        </w:trPr>
        <w:tc>
          <w:tcPr>
            <w:tcW w:w="6805" w:type="dxa"/>
            <w:tcBorders>
              <w:top w:val="single" w:sz="2" w:space="0" w:color="808080" w:themeColor="background1" w:themeShade="80"/>
              <w:bottom w:val="single" w:sz="2" w:space="0" w:color="808080" w:themeColor="background1" w:themeShade="80"/>
              <w:right w:val="single" w:sz="4" w:space="0" w:color="auto"/>
            </w:tcBorders>
            <w:shd w:val="clear" w:color="auto" w:fill="D9D9D9" w:themeFill="background1" w:themeFillShade="D9"/>
          </w:tcPr>
          <w:p w14:paraId="48EBECF7" w14:textId="013DCC06" w:rsidR="00E820CC" w:rsidRPr="007E5ABB" w:rsidRDefault="00E820CC" w:rsidP="00E820CC">
            <w:pPr>
              <w:pStyle w:val="ColorfulList-Accent11"/>
              <w:tabs>
                <w:tab w:val="left" w:pos="0"/>
                <w:tab w:val="left" w:pos="284"/>
              </w:tabs>
              <w:ind w:left="0" w:right="-90"/>
              <w:rPr>
                <w:rFonts w:ascii="Arial" w:hAnsi="Arial" w:cs="Arial"/>
                <w:b/>
                <w:sz w:val="18"/>
                <w:szCs w:val="18"/>
                <w:lang w:val="el-GR"/>
              </w:rPr>
            </w:pPr>
            <w:r w:rsidRPr="007E5ABB">
              <w:rPr>
                <w:rFonts w:ascii="Arial" w:hAnsi="Arial" w:cs="Arial"/>
                <w:b/>
                <w:sz w:val="18"/>
                <w:szCs w:val="18"/>
                <w:lang w:val="el-GR"/>
              </w:rPr>
              <w:t>Ταμειακά διαθέσιμα και ταμειακά ισοδύναμα λήξης περιόδου</w:t>
            </w:r>
          </w:p>
        </w:tc>
        <w:tc>
          <w:tcPr>
            <w:tcW w:w="1354" w:type="dxa"/>
            <w:tcBorders>
              <w:top w:val="single" w:sz="2" w:space="0" w:color="808080" w:themeColor="background1" w:themeShade="80"/>
              <w:left w:val="single" w:sz="4" w:space="0" w:color="auto"/>
              <w:bottom w:val="single" w:sz="2" w:space="0" w:color="808080" w:themeColor="background1" w:themeShade="80"/>
            </w:tcBorders>
            <w:shd w:val="clear" w:color="auto" w:fill="D9D9D9" w:themeFill="background1" w:themeFillShade="D9"/>
            <w:vAlign w:val="center"/>
          </w:tcPr>
          <w:p w14:paraId="3A542634" w14:textId="3A16AD4A" w:rsidR="00E820CC" w:rsidRPr="00854749" w:rsidRDefault="00AA36E0" w:rsidP="00E820CC">
            <w:pPr>
              <w:pStyle w:val="ColorfulList-Accent11"/>
              <w:tabs>
                <w:tab w:val="left" w:pos="0"/>
                <w:tab w:val="left" w:pos="284"/>
              </w:tabs>
              <w:ind w:left="0" w:right="-90"/>
              <w:jc w:val="center"/>
              <w:rPr>
                <w:rFonts w:ascii="Arial" w:hAnsi="Arial" w:cs="Arial"/>
                <w:b/>
                <w:color w:val="FF0000"/>
                <w:sz w:val="18"/>
                <w:szCs w:val="18"/>
                <w:lang w:val="el-GR"/>
              </w:rPr>
            </w:pPr>
            <w:r>
              <w:rPr>
                <w:rFonts w:ascii="Arial" w:hAnsi="Arial" w:cs="Arial"/>
                <w:b/>
                <w:bCs/>
                <w:sz w:val="18"/>
                <w:szCs w:val="18"/>
              </w:rPr>
              <w:t>55</w:t>
            </w:r>
            <w:r w:rsidR="00854749">
              <w:rPr>
                <w:rFonts w:ascii="Arial" w:hAnsi="Arial" w:cs="Arial"/>
                <w:b/>
                <w:bCs/>
                <w:sz w:val="18"/>
                <w:szCs w:val="18"/>
                <w:lang w:val="el-GR"/>
              </w:rPr>
              <w:t>1</w:t>
            </w:r>
            <w:r>
              <w:rPr>
                <w:rFonts w:ascii="Arial" w:hAnsi="Arial" w:cs="Arial"/>
                <w:b/>
                <w:bCs/>
                <w:sz w:val="18"/>
                <w:szCs w:val="18"/>
              </w:rPr>
              <w:t>,0</w:t>
            </w:r>
          </w:p>
        </w:tc>
        <w:tc>
          <w:tcPr>
            <w:tcW w:w="1922" w:type="dxa"/>
            <w:gridSpan w:val="2"/>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94A7D12" w14:textId="36473BC4" w:rsidR="00E820CC" w:rsidRPr="007E5ABB" w:rsidRDefault="00E820CC" w:rsidP="00E820CC">
            <w:pPr>
              <w:pStyle w:val="ColorfulList-Accent11"/>
              <w:tabs>
                <w:tab w:val="left" w:pos="0"/>
                <w:tab w:val="left" w:pos="284"/>
              </w:tabs>
              <w:ind w:left="0" w:right="-90"/>
              <w:jc w:val="center"/>
              <w:rPr>
                <w:rFonts w:ascii="Arial" w:hAnsi="Arial" w:cs="Arial"/>
                <w:b/>
                <w:color w:val="FF0000"/>
                <w:sz w:val="18"/>
                <w:szCs w:val="18"/>
              </w:rPr>
            </w:pPr>
            <w:r w:rsidRPr="00C31C28">
              <w:rPr>
                <w:rFonts w:ascii="Arial" w:hAnsi="Arial" w:cs="Arial"/>
                <w:b/>
                <w:bCs/>
                <w:sz w:val="18"/>
                <w:szCs w:val="18"/>
              </w:rPr>
              <w:t>549</w:t>
            </w:r>
            <w:r w:rsidR="00454299">
              <w:rPr>
                <w:rFonts w:ascii="Arial" w:hAnsi="Arial" w:cs="Arial"/>
                <w:b/>
                <w:bCs/>
                <w:sz w:val="18"/>
                <w:szCs w:val="18"/>
              </w:rPr>
              <w:t>,</w:t>
            </w:r>
            <w:r w:rsidRPr="00C31C28">
              <w:rPr>
                <w:rFonts w:ascii="Arial" w:hAnsi="Arial" w:cs="Arial"/>
                <w:b/>
                <w:bCs/>
                <w:sz w:val="18"/>
                <w:szCs w:val="18"/>
              </w:rPr>
              <w:t>6</w:t>
            </w:r>
          </w:p>
        </w:tc>
      </w:tr>
    </w:tbl>
    <w:p w14:paraId="397F5389" w14:textId="77777777" w:rsidR="00FB041A" w:rsidRDefault="00FB041A" w:rsidP="00FB041A">
      <w:pPr>
        <w:jc w:val="both"/>
        <w:rPr>
          <w:rFonts w:ascii="Arial" w:hAnsi="Arial" w:cs="Arial"/>
          <w:b/>
          <w:sz w:val="16"/>
          <w:szCs w:val="16"/>
        </w:rPr>
      </w:pPr>
    </w:p>
    <w:sectPr w:rsidR="00FB041A" w:rsidSect="00EC6538">
      <w:headerReference w:type="default" r:id="rId14"/>
      <w:footerReference w:type="default" r:id="rId15"/>
      <w:headerReference w:type="first" r:id="rId16"/>
      <w:footerReference w:type="first" r:id="rId17"/>
      <w:pgSz w:w="11906" w:h="16838"/>
      <w:pgMar w:top="54" w:right="707" w:bottom="1418" w:left="709"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63DE" w14:textId="77777777" w:rsidR="008375FC" w:rsidRDefault="008375FC" w:rsidP="00566B01">
      <w:pPr>
        <w:spacing w:after="0" w:line="240" w:lineRule="auto"/>
      </w:pPr>
      <w:r>
        <w:separator/>
      </w:r>
    </w:p>
  </w:endnote>
  <w:endnote w:type="continuationSeparator" w:id="0">
    <w:p w14:paraId="22D97BD9" w14:textId="77777777" w:rsidR="008375FC" w:rsidRDefault="008375FC" w:rsidP="00566B01">
      <w:pPr>
        <w:spacing w:after="0" w:line="240" w:lineRule="auto"/>
      </w:pPr>
      <w:r>
        <w:continuationSeparator/>
      </w:r>
    </w:p>
  </w:endnote>
  <w:endnote w:type="continuationNotice" w:id="1">
    <w:p w14:paraId="673D8722" w14:textId="77777777" w:rsidR="008375FC" w:rsidRDefault="00837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panose1 w:val="020B0504040202090203"/>
    <w:charset w:val="A1"/>
    <w:family w:val="swiss"/>
    <w:pitch w:val="variable"/>
    <w:sig w:usb0="00000287" w:usb1="00000001"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538268"/>
      <w:docPartObj>
        <w:docPartGallery w:val="Page Numbers (Bottom of Page)"/>
        <w:docPartUnique/>
      </w:docPartObj>
    </w:sdtPr>
    <w:sdtEndPr>
      <w:rPr>
        <w:noProof/>
      </w:rPr>
    </w:sdtEndPr>
    <w:sdtContent>
      <w:p w14:paraId="0E92F298" w14:textId="3DE29E02" w:rsidR="00566B01" w:rsidRDefault="004A6177" w:rsidP="00FB20CB">
        <w:pPr>
          <w:pStyle w:val="Footer"/>
          <w:jc w:val="right"/>
        </w:pPr>
        <w:r>
          <w:rPr>
            <w:noProof/>
          </w:rPr>
          <w:drawing>
            <wp:inline distT="0" distB="0" distL="0" distR="0" wp14:anchorId="51B6962F" wp14:editId="05C38996">
              <wp:extent cx="1704975" cy="435224"/>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714425" cy="43763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CE8F" w14:textId="5DB50525" w:rsidR="004A6177" w:rsidRDefault="004A6177">
    <w:pPr>
      <w:pStyle w:val="Footer"/>
    </w:pPr>
    <w:r>
      <w:rPr>
        <w:noProof/>
      </w:rPr>
      <w:drawing>
        <wp:anchor distT="0" distB="0" distL="114300" distR="114300" simplePos="0" relativeHeight="251658242" behindDoc="0" locked="0" layoutInCell="1" allowOverlap="1" wp14:anchorId="1CACB18D" wp14:editId="398D7683">
          <wp:simplePos x="0" y="0"/>
          <wp:positionH relativeFrom="column">
            <wp:posOffset>4814570</wp:posOffset>
          </wp:positionH>
          <wp:positionV relativeFrom="paragraph">
            <wp:posOffset>-502920</wp:posOffset>
          </wp:positionV>
          <wp:extent cx="1808480" cy="461645"/>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00BA" w14:textId="77777777" w:rsidR="008375FC" w:rsidRDefault="008375FC" w:rsidP="00566B01">
      <w:pPr>
        <w:spacing w:after="0" w:line="240" w:lineRule="auto"/>
      </w:pPr>
      <w:r>
        <w:separator/>
      </w:r>
    </w:p>
  </w:footnote>
  <w:footnote w:type="continuationSeparator" w:id="0">
    <w:p w14:paraId="6BB7E30E" w14:textId="77777777" w:rsidR="008375FC" w:rsidRDefault="008375FC" w:rsidP="00566B01">
      <w:pPr>
        <w:spacing w:after="0" w:line="240" w:lineRule="auto"/>
      </w:pPr>
      <w:r>
        <w:continuationSeparator/>
      </w:r>
    </w:p>
  </w:footnote>
  <w:footnote w:type="continuationNotice" w:id="1">
    <w:p w14:paraId="606D56C3" w14:textId="77777777" w:rsidR="008375FC" w:rsidRDefault="008375FC">
      <w:pPr>
        <w:spacing w:after="0" w:line="240" w:lineRule="auto"/>
      </w:pPr>
    </w:p>
  </w:footnote>
  <w:footnote w:id="2">
    <w:p w14:paraId="51DD0DDD" w14:textId="5D45C7DB" w:rsidR="009F5AB1" w:rsidRPr="009F5AB1" w:rsidRDefault="009F5AB1">
      <w:pPr>
        <w:pStyle w:val="FootnoteText"/>
        <w:rPr>
          <w:lang w:val="el-GR"/>
        </w:rPr>
      </w:pPr>
      <w:r>
        <w:rPr>
          <w:rStyle w:val="FootnoteReference"/>
        </w:rPr>
        <w:footnoteRef/>
      </w:r>
      <w:r w:rsidRPr="000442FC">
        <w:rPr>
          <w:lang w:val="el-GR"/>
        </w:rPr>
        <w:t xml:space="preserve"> </w:t>
      </w:r>
      <w:r w:rsidRPr="000442FC">
        <w:rPr>
          <w:rFonts w:ascii="Arial" w:hAnsi="Arial" w:cs="Arial"/>
          <w:sz w:val="16"/>
          <w:szCs w:val="16"/>
          <w:lang w:val="el-GR"/>
        </w:rPr>
        <w:t xml:space="preserve">Τα έσοδα από πελάτες FMS που προηγουμένως καταγράφονταν στα </w:t>
      </w:r>
      <w:r w:rsidR="00681DE1">
        <w:rPr>
          <w:rFonts w:ascii="Arial" w:hAnsi="Arial" w:cs="Arial"/>
          <w:sz w:val="16"/>
          <w:szCs w:val="16"/>
          <w:lang w:val="el-GR"/>
        </w:rPr>
        <w:t>έ</w:t>
      </w:r>
      <w:r w:rsidRPr="000442FC">
        <w:rPr>
          <w:rFonts w:ascii="Arial" w:hAnsi="Arial" w:cs="Arial"/>
          <w:sz w:val="16"/>
          <w:szCs w:val="16"/>
          <w:lang w:val="el-GR"/>
        </w:rPr>
        <w:t>σοδα</w:t>
      </w:r>
      <w:r w:rsidRPr="000442FC">
        <w:rPr>
          <w:rFonts w:ascii="Arial" w:hAnsi="Arial" w:cs="Arial"/>
          <w:sz w:val="16"/>
          <w:szCs w:val="16"/>
          <w:lang w:val="el-GR"/>
        </w:rPr>
        <w:t xml:space="preserve"> από </w:t>
      </w:r>
      <w:r w:rsidR="00681DE1">
        <w:rPr>
          <w:rFonts w:ascii="Arial" w:hAnsi="Arial" w:cs="Arial"/>
          <w:sz w:val="16"/>
          <w:szCs w:val="16"/>
          <w:lang w:val="el-GR"/>
        </w:rPr>
        <w:t>υ</w:t>
      </w:r>
      <w:r w:rsidRPr="000442FC">
        <w:rPr>
          <w:rFonts w:ascii="Arial" w:hAnsi="Arial" w:cs="Arial"/>
          <w:sz w:val="16"/>
          <w:szCs w:val="16"/>
          <w:lang w:val="el-GR"/>
        </w:rPr>
        <w:t xml:space="preserve">πηρεσίες </w:t>
      </w:r>
      <w:r w:rsidR="00681DE1">
        <w:rPr>
          <w:rFonts w:ascii="Arial" w:hAnsi="Arial" w:cs="Arial"/>
          <w:sz w:val="16"/>
          <w:szCs w:val="16"/>
          <w:lang w:val="el-GR"/>
        </w:rPr>
        <w:t>κ</w:t>
      </w:r>
      <w:r w:rsidRPr="000442FC">
        <w:rPr>
          <w:rFonts w:ascii="Arial" w:hAnsi="Arial" w:cs="Arial"/>
          <w:sz w:val="16"/>
          <w:szCs w:val="16"/>
          <w:lang w:val="el-GR"/>
        </w:rPr>
        <w:t>ινητής</w:t>
      </w:r>
      <w:r w:rsidRPr="000442FC">
        <w:rPr>
          <w:rFonts w:ascii="Arial" w:hAnsi="Arial" w:cs="Arial"/>
          <w:sz w:val="16"/>
          <w:szCs w:val="16"/>
          <w:lang w:val="el-GR"/>
        </w:rPr>
        <w:t xml:space="preserve">, πλέον περιλαμβάνονται στις </w:t>
      </w:r>
      <w:r>
        <w:rPr>
          <w:rFonts w:ascii="Arial" w:hAnsi="Arial" w:cs="Arial"/>
          <w:sz w:val="16"/>
          <w:szCs w:val="16"/>
          <w:lang w:val="el-GR"/>
        </w:rPr>
        <w:t>υ</w:t>
      </w:r>
      <w:r w:rsidRPr="000442FC">
        <w:rPr>
          <w:rFonts w:ascii="Arial" w:hAnsi="Arial" w:cs="Arial"/>
          <w:sz w:val="16"/>
          <w:szCs w:val="16"/>
          <w:lang w:val="el-GR"/>
        </w:rPr>
        <w:t>πηρεσίες</w:t>
      </w:r>
      <w:r>
        <w:rPr>
          <w:rFonts w:ascii="Arial" w:hAnsi="Arial" w:cs="Arial"/>
          <w:sz w:val="16"/>
          <w:szCs w:val="16"/>
          <w:lang w:val="el-GR"/>
        </w:rPr>
        <w:t xml:space="preserve"> λιανικής σταθερής</w:t>
      </w:r>
      <w:r w:rsidRPr="000442FC">
        <w:rPr>
          <w:rFonts w:ascii="Arial" w:hAnsi="Arial" w:cs="Arial"/>
          <w:sz w:val="16"/>
          <w:szCs w:val="16"/>
          <w:lang w:val="el-GR"/>
        </w:rPr>
        <w:t>. Τα στοιχεία του 2025 έχουν αναπροσαρμοστεί αναλόγως.</w:t>
      </w:r>
    </w:p>
  </w:footnote>
  <w:footnote w:id="3">
    <w:p w14:paraId="6A561EAD" w14:textId="39330DC0" w:rsidR="004217AA" w:rsidRPr="004217AA" w:rsidRDefault="004217AA" w:rsidP="004217AA">
      <w:pPr>
        <w:pStyle w:val="FootnoteText"/>
        <w:rPr>
          <w:lang w:val="el-GR"/>
        </w:rPr>
      </w:pPr>
      <w:r>
        <w:rPr>
          <w:rStyle w:val="FootnoteReference"/>
        </w:rPr>
        <w:footnoteRef/>
      </w:r>
      <w:r w:rsidRPr="004217AA">
        <w:rPr>
          <w:rFonts w:ascii="Arial" w:hAnsi="Arial" w:cs="Arial"/>
          <w:sz w:val="16"/>
          <w:szCs w:val="16"/>
          <w:lang w:val="el-GR"/>
        </w:rPr>
        <w:t xml:space="preserve"> </w:t>
      </w:r>
      <w:r w:rsidR="00446ABA">
        <w:rPr>
          <w:rFonts w:ascii="Arial" w:hAnsi="Arial" w:cs="Arial"/>
          <w:sz w:val="16"/>
          <w:szCs w:val="16"/>
        </w:rPr>
        <w:t>O</w:t>
      </w:r>
      <w:r>
        <w:rPr>
          <w:rFonts w:ascii="Arial" w:hAnsi="Arial" w:cs="Arial"/>
          <w:sz w:val="16"/>
          <w:szCs w:val="16"/>
          <w:lang w:val="el-GR"/>
        </w:rPr>
        <w:t>ι</w:t>
      </w:r>
      <w:r w:rsidRPr="004217AA">
        <w:rPr>
          <w:rFonts w:ascii="Arial" w:hAnsi="Arial" w:cs="Arial"/>
          <w:sz w:val="16"/>
          <w:szCs w:val="16"/>
          <w:lang w:val="el-GR"/>
        </w:rPr>
        <w:t xml:space="preserve"> πελάτες FMS που προηγουμένως καταγράφονταν </w:t>
      </w:r>
      <w:r>
        <w:rPr>
          <w:rFonts w:ascii="Arial" w:hAnsi="Arial" w:cs="Arial"/>
          <w:sz w:val="16"/>
          <w:szCs w:val="16"/>
          <w:lang w:val="el-GR"/>
        </w:rPr>
        <w:t xml:space="preserve">στους πελάτες συμβολαίου </w:t>
      </w:r>
      <w:r w:rsidR="00446ABA">
        <w:rPr>
          <w:rFonts w:ascii="Arial" w:hAnsi="Arial" w:cs="Arial"/>
          <w:sz w:val="16"/>
          <w:szCs w:val="16"/>
          <w:lang w:val="el-GR"/>
        </w:rPr>
        <w:t>κινητής</w:t>
      </w:r>
      <w:r>
        <w:rPr>
          <w:rFonts w:ascii="Arial" w:hAnsi="Arial" w:cs="Arial"/>
          <w:sz w:val="16"/>
          <w:szCs w:val="16"/>
          <w:lang w:val="el-GR"/>
        </w:rPr>
        <w:t xml:space="preserve"> </w:t>
      </w:r>
      <w:r w:rsidRPr="004217AA">
        <w:rPr>
          <w:rFonts w:ascii="Arial" w:hAnsi="Arial" w:cs="Arial"/>
          <w:sz w:val="16"/>
          <w:szCs w:val="16"/>
          <w:lang w:val="el-GR"/>
        </w:rPr>
        <w:t>περιλαμβάνονται πλέον στη σταθερή, το broadband και το FWA, όπου καταγράφονται επίσης και οι συνδρομητές 5G WiFi.</w:t>
      </w:r>
      <w:r w:rsidR="00446ABA">
        <w:rPr>
          <w:rFonts w:ascii="Arial" w:hAnsi="Arial" w:cs="Arial"/>
          <w:sz w:val="16"/>
          <w:szCs w:val="16"/>
          <w:lang w:val="el-GR"/>
        </w:rPr>
        <w:t xml:space="preserve"> </w:t>
      </w:r>
      <w:r w:rsidR="00446ABA" w:rsidRPr="000442FC">
        <w:rPr>
          <w:rFonts w:ascii="Arial" w:hAnsi="Arial" w:cs="Arial"/>
          <w:sz w:val="16"/>
          <w:szCs w:val="16"/>
          <w:lang w:val="el-GR"/>
        </w:rPr>
        <w:t>Τα στοιχεία του 2025 έχουν αναπροσαρμοστεί αναλόγως.</w:t>
      </w:r>
    </w:p>
    <w:p w14:paraId="15D89984" w14:textId="04E3B8FB" w:rsidR="004217AA" w:rsidRPr="004217AA" w:rsidRDefault="004217AA">
      <w:pPr>
        <w:pStyle w:val="FootnoteText"/>
        <w:rPr>
          <w:lang w:val="el-GR"/>
        </w:rPr>
      </w:pPr>
    </w:p>
  </w:footnote>
  <w:footnote w:id="4">
    <w:p w14:paraId="6EE2960B" w14:textId="4894F393" w:rsidR="00CD35BE" w:rsidRPr="00CD35BE" w:rsidRDefault="00CD35BE">
      <w:pPr>
        <w:pStyle w:val="FootnoteText"/>
        <w:rPr>
          <w:rFonts w:ascii="Arial" w:hAnsi="Arial" w:cs="Arial"/>
          <w:sz w:val="16"/>
          <w:szCs w:val="16"/>
          <w:lang w:val="el-GR"/>
        </w:rPr>
      </w:pPr>
      <w:r w:rsidRPr="00CD35BE">
        <w:rPr>
          <w:rStyle w:val="FootnoteReference"/>
          <w:rFonts w:ascii="Arial" w:hAnsi="Arial" w:cs="Arial"/>
          <w:sz w:val="16"/>
          <w:szCs w:val="16"/>
        </w:rPr>
        <w:footnoteRef/>
      </w:r>
      <w:r w:rsidRPr="00CD35BE">
        <w:rPr>
          <w:rFonts w:ascii="Arial" w:hAnsi="Arial" w:cs="Arial"/>
          <w:sz w:val="16"/>
          <w:szCs w:val="16"/>
          <w:lang w:val="el-GR"/>
        </w:rPr>
        <w:t xml:space="preserve"> Τα έσοδα από πελάτες FMS που προηγουμένως καταγράφονταν στα έσοδα από υπηρεσίες κινητής, πλέον περιλαμβάνονται στις υπηρεσίες λιανικής σταθερής. Τα στοιχεία του 2025 έχουν αναπροσαρμοστεί αναλόγως.</w:t>
      </w:r>
    </w:p>
  </w:footnote>
  <w:footnote w:id="5">
    <w:p w14:paraId="08A0607C" w14:textId="3C59CB45" w:rsidR="00E2036E" w:rsidRPr="00E2036E" w:rsidRDefault="00E2036E">
      <w:pPr>
        <w:pStyle w:val="FootnoteText"/>
        <w:rPr>
          <w:rFonts w:ascii="Arial" w:hAnsi="Arial" w:cs="Arial"/>
          <w:sz w:val="16"/>
          <w:szCs w:val="16"/>
          <w:lang w:val="el-GR"/>
        </w:rPr>
      </w:pPr>
      <w:r w:rsidRPr="00E2036E">
        <w:rPr>
          <w:rStyle w:val="FootnoteReference"/>
          <w:rFonts w:ascii="Arial" w:hAnsi="Arial" w:cs="Arial"/>
          <w:sz w:val="16"/>
          <w:szCs w:val="16"/>
        </w:rPr>
        <w:footnoteRef/>
      </w:r>
      <w:r w:rsidRPr="00E2036E">
        <w:rPr>
          <w:rFonts w:ascii="Arial" w:hAnsi="Arial" w:cs="Arial"/>
          <w:sz w:val="16"/>
          <w:szCs w:val="16"/>
          <w:lang w:val="el-GR"/>
        </w:rPr>
        <w:t xml:space="preserve"> </w:t>
      </w:r>
      <w:r w:rsidRPr="00E2036E">
        <w:rPr>
          <w:rFonts w:ascii="Arial" w:hAnsi="Arial" w:cs="Arial"/>
          <w:color w:val="000000" w:themeColor="text1"/>
          <w:sz w:val="16"/>
          <w:szCs w:val="16"/>
          <w:lang w:val="el-GR"/>
        </w:rPr>
        <w:t>Για την περίοδο που έληξε στις 31 Μαρτίου 2026, η εγγραφή ταμειακών ροών «Φόρος εισοδήματος καταβεβλημένος» δεν περιλαμβάνει ποσό ύψους €5,1 εκατ. (</w:t>
      </w:r>
      <w:r w:rsidRPr="00E2036E">
        <w:rPr>
          <w:rFonts w:ascii="Arial" w:hAnsi="Arial" w:cs="Arial"/>
          <w:color w:val="000000" w:themeColor="text1"/>
          <w:sz w:val="16"/>
          <w:szCs w:val="16"/>
        </w:rPr>
        <w:t>Q</w:t>
      </w:r>
      <w:r w:rsidRPr="00E2036E">
        <w:rPr>
          <w:rFonts w:ascii="Arial" w:hAnsi="Arial" w:cs="Arial"/>
          <w:color w:val="000000" w:themeColor="text1"/>
          <w:sz w:val="16"/>
          <w:szCs w:val="16"/>
          <w:lang w:val="el-GR"/>
        </w:rPr>
        <w:t>1 2025: €0,0εκατ.) που αφορά υποχρεώσεις φόρου εισοδήματος οι οποίες τακτοποιήθηκαν μέσω συμψηφισμού με εμπορικές και λοιπές απαιτήσεις από τον δημόσιο τομέα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AE39" w14:textId="0DFE374F" w:rsidR="00566B01" w:rsidRPr="00912C18" w:rsidRDefault="00F46921" w:rsidP="0009084A">
    <w:pPr>
      <w:pStyle w:val="Header"/>
      <w:tabs>
        <w:tab w:val="clear" w:pos="4153"/>
        <w:tab w:val="clear" w:pos="8306"/>
        <w:tab w:val="left" w:pos="6336"/>
      </w:tabs>
      <w:rPr>
        <w:lang w:val="en-US"/>
      </w:rPr>
    </w:pPr>
    <w:r>
      <w:rPr>
        <w:noProof/>
      </w:rPr>
      <w:drawing>
        <wp:anchor distT="0" distB="0" distL="114300" distR="114300" simplePos="0" relativeHeight="251658240" behindDoc="0" locked="0" layoutInCell="1" allowOverlap="1" wp14:anchorId="166C952C" wp14:editId="5A83C76C">
          <wp:simplePos x="0" y="0"/>
          <wp:positionH relativeFrom="page">
            <wp:posOffset>6124575</wp:posOffset>
          </wp:positionH>
          <wp:positionV relativeFrom="paragraph">
            <wp:posOffset>-293370</wp:posOffset>
          </wp:positionV>
          <wp:extent cx="809625" cy="546735"/>
          <wp:effectExtent l="0" t="0" r="9525" b="571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809625" cy="54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8DE5" w14:textId="2C31F2E4" w:rsidR="0038461B" w:rsidRDefault="0038461B">
    <w:pPr>
      <w:pStyle w:val="Header"/>
    </w:pPr>
    <w:r>
      <w:rPr>
        <w:noProof/>
      </w:rPr>
      <w:drawing>
        <wp:anchor distT="0" distB="0" distL="114300" distR="114300" simplePos="0" relativeHeight="251658241"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25DB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B26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21B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F5B0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E0BCF"/>
    <w:multiLevelType w:val="hybridMultilevel"/>
    <w:tmpl w:val="5E429468"/>
    <w:lvl w:ilvl="0" w:tplc="04080003">
      <w:start w:val="1"/>
      <w:numFmt w:val="bullet"/>
      <w:lvlText w:val="o"/>
      <w:lvlJc w:val="left"/>
      <w:pPr>
        <w:ind w:left="1154" w:hanging="360"/>
      </w:pPr>
      <w:rPr>
        <w:rFonts w:ascii="Courier New" w:hAnsi="Courier New" w:cs="Courier New"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6" w15:restartNumberingAfterBreak="0">
    <w:nsid w:val="0344074D"/>
    <w:multiLevelType w:val="hybridMultilevel"/>
    <w:tmpl w:val="B120A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A53CE3"/>
    <w:multiLevelType w:val="hybridMultilevel"/>
    <w:tmpl w:val="0A84D3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3629B7"/>
    <w:multiLevelType w:val="hybridMultilevel"/>
    <w:tmpl w:val="2DB0079E"/>
    <w:lvl w:ilvl="0" w:tplc="04080001">
      <w:start w:val="1"/>
      <w:numFmt w:val="bullet"/>
      <w:pStyle w:val="Normal2"/>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2FB1D8F"/>
    <w:multiLevelType w:val="hybridMultilevel"/>
    <w:tmpl w:val="8974C9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7576206"/>
    <w:multiLevelType w:val="hybridMultilevel"/>
    <w:tmpl w:val="9CD40B3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928312B"/>
    <w:multiLevelType w:val="hybridMultilevel"/>
    <w:tmpl w:val="EBE2E28E"/>
    <w:lvl w:ilvl="0" w:tplc="04080001">
      <w:start w:val="1"/>
      <w:numFmt w:val="bullet"/>
      <w:lvlText w:val=""/>
      <w:lvlJc w:val="left"/>
      <w:pPr>
        <w:ind w:left="1647" w:hanging="360"/>
      </w:pPr>
      <w:rPr>
        <w:rFonts w:ascii="Symbol" w:hAnsi="Symbol"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abstractNum w:abstractNumId="13" w15:restartNumberingAfterBreak="0">
    <w:nsid w:val="3531588E"/>
    <w:multiLevelType w:val="hybridMultilevel"/>
    <w:tmpl w:val="C2107CD6"/>
    <w:lvl w:ilvl="0" w:tplc="2EB8AC4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A77AF8"/>
    <w:multiLevelType w:val="hybridMultilevel"/>
    <w:tmpl w:val="A1827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F6E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7A832D0"/>
    <w:multiLevelType w:val="hybridMultilevel"/>
    <w:tmpl w:val="141CE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90F7989"/>
    <w:multiLevelType w:val="hybridMultilevel"/>
    <w:tmpl w:val="B95EE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533AAC"/>
    <w:multiLevelType w:val="hybridMultilevel"/>
    <w:tmpl w:val="48869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56E3613"/>
    <w:multiLevelType w:val="hybridMultilevel"/>
    <w:tmpl w:val="6B307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DD2AC2"/>
    <w:multiLevelType w:val="hybridMultilevel"/>
    <w:tmpl w:val="0722D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391280"/>
    <w:multiLevelType w:val="hybridMultilevel"/>
    <w:tmpl w:val="BE4C24BA"/>
    <w:lvl w:ilvl="0" w:tplc="04080003">
      <w:start w:val="1"/>
      <w:numFmt w:val="bullet"/>
      <w:lvlText w:val="o"/>
      <w:lvlJc w:val="left"/>
      <w:pPr>
        <w:ind w:left="1649" w:hanging="360"/>
      </w:pPr>
      <w:rPr>
        <w:rFonts w:ascii="Courier New" w:hAnsi="Courier New" w:cs="Courier New" w:hint="default"/>
      </w:rPr>
    </w:lvl>
    <w:lvl w:ilvl="1" w:tplc="04080003" w:tentative="1">
      <w:start w:val="1"/>
      <w:numFmt w:val="bullet"/>
      <w:lvlText w:val="o"/>
      <w:lvlJc w:val="left"/>
      <w:pPr>
        <w:ind w:left="2369" w:hanging="360"/>
      </w:pPr>
      <w:rPr>
        <w:rFonts w:ascii="Courier New" w:hAnsi="Courier New" w:cs="Courier New" w:hint="default"/>
      </w:rPr>
    </w:lvl>
    <w:lvl w:ilvl="2" w:tplc="04080005" w:tentative="1">
      <w:start w:val="1"/>
      <w:numFmt w:val="bullet"/>
      <w:lvlText w:val=""/>
      <w:lvlJc w:val="left"/>
      <w:pPr>
        <w:ind w:left="3089" w:hanging="360"/>
      </w:pPr>
      <w:rPr>
        <w:rFonts w:ascii="Wingdings" w:hAnsi="Wingdings" w:hint="default"/>
      </w:rPr>
    </w:lvl>
    <w:lvl w:ilvl="3" w:tplc="04080001" w:tentative="1">
      <w:start w:val="1"/>
      <w:numFmt w:val="bullet"/>
      <w:lvlText w:val=""/>
      <w:lvlJc w:val="left"/>
      <w:pPr>
        <w:ind w:left="3809" w:hanging="360"/>
      </w:pPr>
      <w:rPr>
        <w:rFonts w:ascii="Symbol" w:hAnsi="Symbol" w:hint="default"/>
      </w:rPr>
    </w:lvl>
    <w:lvl w:ilvl="4" w:tplc="04080003" w:tentative="1">
      <w:start w:val="1"/>
      <w:numFmt w:val="bullet"/>
      <w:lvlText w:val="o"/>
      <w:lvlJc w:val="left"/>
      <w:pPr>
        <w:ind w:left="4529" w:hanging="360"/>
      </w:pPr>
      <w:rPr>
        <w:rFonts w:ascii="Courier New" w:hAnsi="Courier New" w:cs="Courier New" w:hint="default"/>
      </w:rPr>
    </w:lvl>
    <w:lvl w:ilvl="5" w:tplc="04080005" w:tentative="1">
      <w:start w:val="1"/>
      <w:numFmt w:val="bullet"/>
      <w:lvlText w:val=""/>
      <w:lvlJc w:val="left"/>
      <w:pPr>
        <w:ind w:left="5249" w:hanging="360"/>
      </w:pPr>
      <w:rPr>
        <w:rFonts w:ascii="Wingdings" w:hAnsi="Wingdings" w:hint="default"/>
      </w:rPr>
    </w:lvl>
    <w:lvl w:ilvl="6" w:tplc="04080001" w:tentative="1">
      <w:start w:val="1"/>
      <w:numFmt w:val="bullet"/>
      <w:lvlText w:val=""/>
      <w:lvlJc w:val="left"/>
      <w:pPr>
        <w:ind w:left="5969" w:hanging="360"/>
      </w:pPr>
      <w:rPr>
        <w:rFonts w:ascii="Symbol" w:hAnsi="Symbol" w:hint="default"/>
      </w:rPr>
    </w:lvl>
    <w:lvl w:ilvl="7" w:tplc="04080003" w:tentative="1">
      <w:start w:val="1"/>
      <w:numFmt w:val="bullet"/>
      <w:lvlText w:val="o"/>
      <w:lvlJc w:val="left"/>
      <w:pPr>
        <w:ind w:left="6689" w:hanging="360"/>
      </w:pPr>
      <w:rPr>
        <w:rFonts w:ascii="Courier New" w:hAnsi="Courier New" w:cs="Courier New" w:hint="default"/>
      </w:rPr>
    </w:lvl>
    <w:lvl w:ilvl="8" w:tplc="04080005" w:tentative="1">
      <w:start w:val="1"/>
      <w:numFmt w:val="bullet"/>
      <w:lvlText w:val=""/>
      <w:lvlJc w:val="left"/>
      <w:pPr>
        <w:ind w:left="7409" w:hanging="360"/>
      </w:pPr>
      <w:rPr>
        <w:rFonts w:ascii="Wingdings" w:hAnsi="Wingdings" w:hint="default"/>
      </w:rPr>
    </w:lvl>
  </w:abstractNum>
  <w:abstractNum w:abstractNumId="24" w15:restartNumberingAfterBreak="0">
    <w:nsid w:val="5EB9DD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6AD4C04"/>
    <w:multiLevelType w:val="hybridMultilevel"/>
    <w:tmpl w:val="E0500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A37C6"/>
    <w:multiLevelType w:val="hybridMultilevel"/>
    <w:tmpl w:val="B0704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E00133"/>
    <w:multiLevelType w:val="hybridMultilevel"/>
    <w:tmpl w:val="471EAEE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29" w15:restartNumberingAfterBreak="0">
    <w:nsid w:val="7AE203BA"/>
    <w:multiLevelType w:val="hybridMultilevel"/>
    <w:tmpl w:val="28F6C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7B6728"/>
    <w:multiLevelType w:val="hybridMultilevel"/>
    <w:tmpl w:val="CC9E5A74"/>
    <w:lvl w:ilvl="0" w:tplc="18FAB46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DAE61EC"/>
    <w:multiLevelType w:val="hybridMultilevel"/>
    <w:tmpl w:val="B3346BF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2" w15:restartNumberingAfterBreak="0">
    <w:nsid w:val="7F8A200D"/>
    <w:multiLevelType w:val="hybridMultilevel"/>
    <w:tmpl w:val="98848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52881888">
    <w:abstractNumId w:val="28"/>
  </w:num>
  <w:num w:numId="2" w16cid:durableId="61802995">
    <w:abstractNumId w:val="4"/>
  </w:num>
  <w:num w:numId="3" w16cid:durableId="1393655253">
    <w:abstractNumId w:val="5"/>
  </w:num>
  <w:num w:numId="4" w16cid:durableId="1435898235">
    <w:abstractNumId w:val="16"/>
  </w:num>
  <w:num w:numId="5" w16cid:durableId="87431740">
    <w:abstractNumId w:val="9"/>
  </w:num>
  <w:num w:numId="6" w16cid:durableId="385686173">
    <w:abstractNumId w:val="15"/>
  </w:num>
  <w:num w:numId="7" w16cid:durableId="949051026">
    <w:abstractNumId w:val="18"/>
  </w:num>
  <w:num w:numId="8" w16cid:durableId="210963499">
    <w:abstractNumId w:val="7"/>
  </w:num>
  <w:num w:numId="9" w16cid:durableId="998076647">
    <w:abstractNumId w:val="8"/>
  </w:num>
  <w:num w:numId="10" w16cid:durableId="1379620147">
    <w:abstractNumId w:val="23"/>
  </w:num>
  <w:num w:numId="11" w16cid:durableId="32851188">
    <w:abstractNumId w:val="0"/>
  </w:num>
  <w:num w:numId="12" w16cid:durableId="264582642">
    <w:abstractNumId w:val="1"/>
  </w:num>
  <w:num w:numId="13" w16cid:durableId="1494103344">
    <w:abstractNumId w:val="12"/>
  </w:num>
  <w:num w:numId="14" w16cid:durableId="2121680998">
    <w:abstractNumId w:val="24"/>
  </w:num>
  <w:num w:numId="15" w16cid:durableId="1325888739">
    <w:abstractNumId w:val="31"/>
  </w:num>
  <w:num w:numId="16" w16cid:durableId="731580203">
    <w:abstractNumId w:val="2"/>
  </w:num>
  <w:num w:numId="17" w16cid:durableId="891423790">
    <w:abstractNumId w:val="17"/>
  </w:num>
  <w:num w:numId="18" w16cid:durableId="2144149467">
    <w:abstractNumId w:val="22"/>
  </w:num>
  <w:num w:numId="19" w16cid:durableId="1918707231">
    <w:abstractNumId w:val="11"/>
  </w:num>
  <w:num w:numId="20" w16cid:durableId="1134175407">
    <w:abstractNumId w:val="13"/>
  </w:num>
  <w:num w:numId="21" w16cid:durableId="1681158738">
    <w:abstractNumId w:val="27"/>
  </w:num>
  <w:num w:numId="22" w16cid:durableId="1139566521">
    <w:abstractNumId w:val="8"/>
  </w:num>
  <w:num w:numId="23" w16cid:durableId="1420099684">
    <w:abstractNumId w:val="8"/>
  </w:num>
  <w:num w:numId="24" w16cid:durableId="1788426634">
    <w:abstractNumId w:val="3"/>
  </w:num>
  <w:num w:numId="25" w16cid:durableId="1424835257">
    <w:abstractNumId w:val="26"/>
  </w:num>
  <w:num w:numId="26" w16cid:durableId="2032027635">
    <w:abstractNumId w:val="29"/>
  </w:num>
  <w:num w:numId="27" w16cid:durableId="821779399">
    <w:abstractNumId w:val="10"/>
  </w:num>
  <w:num w:numId="28" w16cid:durableId="993920663">
    <w:abstractNumId w:val="6"/>
  </w:num>
  <w:num w:numId="29" w16cid:durableId="1184788949">
    <w:abstractNumId w:val="20"/>
  </w:num>
  <w:num w:numId="30" w16cid:durableId="1270622918">
    <w:abstractNumId w:val="30"/>
  </w:num>
  <w:num w:numId="31" w16cid:durableId="325019504">
    <w:abstractNumId w:val="32"/>
  </w:num>
  <w:num w:numId="32" w16cid:durableId="1595169360">
    <w:abstractNumId w:val="25"/>
  </w:num>
  <w:num w:numId="33" w16cid:durableId="475226076">
    <w:abstractNumId w:val="14"/>
  </w:num>
  <w:num w:numId="34" w16cid:durableId="865019510">
    <w:abstractNumId w:val="19"/>
  </w:num>
  <w:num w:numId="35" w16cid:durableId="16199917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060C"/>
    <w:rsid w:val="0000089C"/>
    <w:rsid w:val="00000A06"/>
    <w:rsid w:val="000016AC"/>
    <w:rsid w:val="00001B71"/>
    <w:rsid w:val="00001CD7"/>
    <w:rsid w:val="00001CFF"/>
    <w:rsid w:val="0000230C"/>
    <w:rsid w:val="00002620"/>
    <w:rsid w:val="0000267B"/>
    <w:rsid w:val="000028BF"/>
    <w:rsid w:val="00002C1F"/>
    <w:rsid w:val="000032A8"/>
    <w:rsid w:val="00003607"/>
    <w:rsid w:val="00003DB7"/>
    <w:rsid w:val="00003F6D"/>
    <w:rsid w:val="000040E7"/>
    <w:rsid w:val="00004334"/>
    <w:rsid w:val="00004466"/>
    <w:rsid w:val="00004724"/>
    <w:rsid w:val="00004A74"/>
    <w:rsid w:val="0000541E"/>
    <w:rsid w:val="00005481"/>
    <w:rsid w:val="000057D6"/>
    <w:rsid w:val="00006123"/>
    <w:rsid w:val="0000638F"/>
    <w:rsid w:val="00006510"/>
    <w:rsid w:val="00006BC0"/>
    <w:rsid w:val="00006FBE"/>
    <w:rsid w:val="000070A0"/>
    <w:rsid w:val="0000714D"/>
    <w:rsid w:val="000074F5"/>
    <w:rsid w:val="000075BD"/>
    <w:rsid w:val="0000762B"/>
    <w:rsid w:val="000079DC"/>
    <w:rsid w:val="000113D4"/>
    <w:rsid w:val="00011871"/>
    <w:rsid w:val="00012084"/>
    <w:rsid w:val="00012914"/>
    <w:rsid w:val="00012B94"/>
    <w:rsid w:val="00013CB4"/>
    <w:rsid w:val="00013EB2"/>
    <w:rsid w:val="0001494A"/>
    <w:rsid w:val="00014C53"/>
    <w:rsid w:val="00014E5A"/>
    <w:rsid w:val="000150BE"/>
    <w:rsid w:val="000151D1"/>
    <w:rsid w:val="000153D7"/>
    <w:rsid w:val="00015420"/>
    <w:rsid w:val="00015827"/>
    <w:rsid w:val="00015C7D"/>
    <w:rsid w:val="00015EBE"/>
    <w:rsid w:val="00016CF7"/>
    <w:rsid w:val="000176FA"/>
    <w:rsid w:val="000178A2"/>
    <w:rsid w:val="00017A03"/>
    <w:rsid w:val="00017A58"/>
    <w:rsid w:val="00017F4E"/>
    <w:rsid w:val="00020576"/>
    <w:rsid w:val="000208BE"/>
    <w:rsid w:val="0002267D"/>
    <w:rsid w:val="00022C9F"/>
    <w:rsid w:val="00022E28"/>
    <w:rsid w:val="00022F28"/>
    <w:rsid w:val="00023206"/>
    <w:rsid w:val="0002420C"/>
    <w:rsid w:val="0002473E"/>
    <w:rsid w:val="00024B00"/>
    <w:rsid w:val="000260CB"/>
    <w:rsid w:val="00026144"/>
    <w:rsid w:val="000261C2"/>
    <w:rsid w:val="00026FB3"/>
    <w:rsid w:val="000276CF"/>
    <w:rsid w:val="00027850"/>
    <w:rsid w:val="00027C49"/>
    <w:rsid w:val="00027C89"/>
    <w:rsid w:val="000303AC"/>
    <w:rsid w:val="00030E57"/>
    <w:rsid w:val="00030EE0"/>
    <w:rsid w:val="000313B1"/>
    <w:rsid w:val="00031A2F"/>
    <w:rsid w:val="00031A3E"/>
    <w:rsid w:val="00031B3A"/>
    <w:rsid w:val="00032620"/>
    <w:rsid w:val="00032A63"/>
    <w:rsid w:val="00032F20"/>
    <w:rsid w:val="00034AC9"/>
    <w:rsid w:val="0003543D"/>
    <w:rsid w:val="000359FE"/>
    <w:rsid w:val="00035B47"/>
    <w:rsid w:val="00036123"/>
    <w:rsid w:val="00036243"/>
    <w:rsid w:val="000362B0"/>
    <w:rsid w:val="00036427"/>
    <w:rsid w:val="0003669A"/>
    <w:rsid w:val="000366A1"/>
    <w:rsid w:val="00036FA3"/>
    <w:rsid w:val="00037946"/>
    <w:rsid w:val="00040471"/>
    <w:rsid w:val="0004078D"/>
    <w:rsid w:val="000413F8"/>
    <w:rsid w:val="0004146A"/>
    <w:rsid w:val="00041A2F"/>
    <w:rsid w:val="00041BE2"/>
    <w:rsid w:val="000420A6"/>
    <w:rsid w:val="0004210A"/>
    <w:rsid w:val="0004226C"/>
    <w:rsid w:val="00042446"/>
    <w:rsid w:val="00042973"/>
    <w:rsid w:val="00042A15"/>
    <w:rsid w:val="00042C36"/>
    <w:rsid w:val="000435F1"/>
    <w:rsid w:val="000441A7"/>
    <w:rsid w:val="0004452F"/>
    <w:rsid w:val="00045CA7"/>
    <w:rsid w:val="00045D1E"/>
    <w:rsid w:val="00045DEF"/>
    <w:rsid w:val="00046318"/>
    <w:rsid w:val="000466BB"/>
    <w:rsid w:val="00047B3F"/>
    <w:rsid w:val="000500FB"/>
    <w:rsid w:val="000503A8"/>
    <w:rsid w:val="00050990"/>
    <w:rsid w:val="000515D2"/>
    <w:rsid w:val="0005167A"/>
    <w:rsid w:val="00051E74"/>
    <w:rsid w:val="00052574"/>
    <w:rsid w:val="00052D5A"/>
    <w:rsid w:val="000532AA"/>
    <w:rsid w:val="0005352A"/>
    <w:rsid w:val="00053F70"/>
    <w:rsid w:val="000545B1"/>
    <w:rsid w:val="00054A30"/>
    <w:rsid w:val="00054CB9"/>
    <w:rsid w:val="00054E2E"/>
    <w:rsid w:val="00054E60"/>
    <w:rsid w:val="0005555F"/>
    <w:rsid w:val="00055C03"/>
    <w:rsid w:val="00055C53"/>
    <w:rsid w:val="00056427"/>
    <w:rsid w:val="00056443"/>
    <w:rsid w:val="0005668D"/>
    <w:rsid w:val="00056A2F"/>
    <w:rsid w:val="00057881"/>
    <w:rsid w:val="00060321"/>
    <w:rsid w:val="000604E1"/>
    <w:rsid w:val="0006072E"/>
    <w:rsid w:val="000612A9"/>
    <w:rsid w:val="00061369"/>
    <w:rsid w:val="000616FB"/>
    <w:rsid w:val="00061E89"/>
    <w:rsid w:val="000625E9"/>
    <w:rsid w:val="00062BC4"/>
    <w:rsid w:val="000635AF"/>
    <w:rsid w:val="00063655"/>
    <w:rsid w:val="00063AA7"/>
    <w:rsid w:val="00063BF6"/>
    <w:rsid w:val="0006424B"/>
    <w:rsid w:val="0006494E"/>
    <w:rsid w:val="00065900"/>
    <w:rsid w:val="0006631B"/>
    <w:rsid w:val="0006647F"/>
    <w:rsid w:val="00066726"/>
    <w:rsid w:val="00066DC0"/>
    <w:rsid w:val="00067369"/>
    <w:rsid w:val="00067552"/>
    <w:rsid w:val="00070286"/>
    <w:rsid w:val="00070544"/>
    <w:rsid w:val="00070D8F"/>
    <w:rsid w:val="00070EDD"/>
    <w:rsid w:val="000711BC"/>
    <w:rsid w:val="00071B93"/>
    <w:rsid w:val="00071DEA"/>
    <w:rsid w:val="0007259D"/>
    <w:rsid w:val="0007290F"/>
    <w:rsid w:val="00072A02"/>
    <w:rsid w:val="00073647"/>
    <w:rsid w:val="0007365A"/>
    <w:rsid w:val="00073C27"/>
    <w:rsid w:val="00073FA3"/>
    <w:rsid w:val="0007489B"/>
    <w:rsid w:val="00074C4A"/>
    <w:rsid w:val="000750F4"/>
    <w:rsid w:val="00075940"/>
    <w:rsid w:val="00075D01"/>
    <w:rsid w:val="00076325"/>
    <w:rsid w:val="00076A87"/>
    <w:rsid w:val="00076DA7"/>
    <w:rsid w:val="00077369"/>
    <w:rsid w:val="000773CB"/>
    <w:rsid w:val="000774C8"/>
    <w:rsid w:val="00077AC4"/>
    <w:rsid w:val="00077AC9"/>
    <w:rsid w:val="00077B4B"/>
    <w:rsid w:val="00077BEC"/>
    <w:rsid w:val="000807BB"/>
    <w:rsid w:val="00080863"/>
    <w:rsid w:val="00080D02"/>
    <w:rsid w:val="0008137B"/>
    <w:rsid w:val="000816FA"/>
    <w:rsid w:val="00081881"/>
    <w:rsid w:val="00082182"/>
    <w:rsid w:val="00082E8B"/>
    <w:rsid w:val="00083101"/>
    <w:rsid w:val="0008447C"/>
    <w:rsid w:val="00084745"/>
    <w:rsid w:val="000847D7"/>
    <w:rsid w:val="00084951"/>
    <w:rsid w:val="00085035"/>
    <w:rsid w:val="000852EA"/>
    <w:rsid w:val="0008646E"/>
    <w:rsid w:val="0008748C"/>
    <w:rsid w:val="000877F5"/>
    <w:rsid w:val="00087FCE"/>
    <w:rsid w:val="00090098"/>
    <w:rsid w:val="00090243"/>
    <w:rsid w:val="000902E5"/>
    <w:rsid w:val="0009084A"/>
    <w:rsid w:val="00090945"/>
    <w:rsid w:val="00090F59"/>
    <w:rsid w:val="00091067"/>
    <w:rsid w:val="00091395"/>
    <w:rsid w:val="0009181E"/>
    <w:rsid w:val="0009184F"/>
    <w:rsid w:val="000919ED"/>
    <w:rsid w:val="00091A96"/>
    <w:rsid w:val="000920C2"/>
    <w:rsid w:val="000921C2"/>
    <w:rsid w:val="00092537"/>
    <w:rsid w:val="0009277C"/>
    <w:rsid w:val="00092805"/>
    <w:rsid w:val="00092B17"/>
    <w:rsid w:val="00092D75"/>
    <w:rsid w:val="00093137"/>
    <w:rsid w:val="000934F9"/>
    <w:rsid w:val="00093AA6"/>
    <w:rsid w:val="00094093"/>
    <w:rsid w:val="000946FA"/>
    <w:rsid w:val="000947F7"/>
    <w:rsid w:val="00094AA0"/>
    <w:rsid w:val="00095691"/>
    <w:rsid w:val="0009576B"/>
    <w:rsid w:val="00095C93"/>
    <w:rsid w:val="00095D99"/>
    <w:rsid w:val="00095E5C"/>
    <w:rsid w:val="00095E78"/>
    <w:rsid w:val="00096169"/>
    <w:rsid w:val="000961C3"/>
    <w:rsid w:val="000962EA"/>
    <w:rsid w:val="000965B9"/>
    <w:rsid w:val="00096929"/>
    <w:rsid w:val="00096C0C"/>
    <w:rsid w:val="00096C13"/>
    <w:rsid w:val="00096D03"/>
    <w:rsid w:val="00097191"/>
    <w:rsid w:val="00097AB5"/>
    <w:rsid w:val="00097EA2"/>
    <w:rsid w:val="000A02C6"/>
    <w:rsid w:val="000A16E4"/>
    <w:rsid w:val="000A1F67"/>
    <w:rsid w:val="000A26C7"/>
    <w:rsid w:val="000A2911"/>
    <w:rsid w:val="000A2BD2"/>
    <w:rsid w:val="000A30DD"/>
    <w:rsid w:val="000A318A"/>
    <w:rsid w:val="000A321D"/>
    <w:rsid w:val="000A346B"/>
    <w:rsid w:val="000A3C77"/>
    <w:rsid w:val="000A45EF"/>
    <w:rsid w:val="000A4C67"/>
    <w:rsid w:val="000A4D09"/>
    <w:rsid w:val="000A5EE3"/>
    <w:rsid w:val="000A615F"/>
    <w:rsid w:val="000A77A0"/>
    <w:rsid w:val="000A7934"/>
    <w:rsid w:val="000A794C"/>
    <w:rsid w:val="000B00E3"/>
    <w:rsid w:val="000B0525"/>
    <w:rsid w:val="000B05AD"/>
    <w:rsid w:val="000B0780"/>
    <w:rsid w:val="000B07E6"/>
    <w:rsid w:val="000B0ABC"/>
    <w:rsid w:val="000B0ED0"/>
    <w:rsid w:val="000B0FD8"/>
    <w:rsid w:val="000B1507"/>
    <w:rsid w:val="000B21E3"/>
    <w:rsid w:val="000B2F37"/>
    <w:rsid w:val="000B2F66"/>
    <w:rsid w:val="000B30EB"/>
    <w:rsid w:val="000B31A0"/>
    <w:rsid w:val="000B330D"/>
    <w:rsid w:val="000B3E67"/>
    <w:rsid w:val="000B412C"/>
    <w:rsid w:val="000B4F3B"/>
    <w:rsid w:val="000B5244"/>
    <w:rsid w:val="000B526F"/>
    <w:rsid w:val="000B5D91"/>
    <w:rsid w:val="000B61A8"/>
    <w:rsid w:val="000B75BE"/>
    <w:rsid w:val="000B7C91"/>
    <w:rsid w:val="000C0842"/>
    <w:rsid w:val="000C16B9"/>
    <w:rsid w:val="000C1D79"/>
    <w:rsid w:val="000C1ED3"/>
    <w:rsid w:val="000C204D"/>
    <w:rsid w:val="000C2D92"/>
    <w:rsid w:val="000C31A6"/>
    <w:rsid w:val="000C33EF"/>
    <w:rsid w:val="000C3A5F"/>
    <w:rsid w:val="000C401B"/>
    <w:rsid w:val="000C42DD"/>
    <w:rsid w:val="000C49FB"/>
    <w:rsid w:val="000C4EE6"/>
    <w:rsid w:val="000C51BE"/>
    <w:rsid w:val="000C55CC"/>
    <w:rsid w:val="000C55EA"/>
    <w:rsid w:val="000C5DFF"/>
    <w:rsid w:val="000C5EE9"/>
    <w:rsid w:val="000C5FD1"/>
    <w:rsid w:val="000C6CD7"/>
    <w:rsid w:val="000C74A8"/>
    <w:rsid w:val="000C75DF"/>
    <w:rsid w:val="000C7DA8"/>
    <w:rsid w:val="000C7DB7"/>
    <w:rsid w:val="000C7EA4"/>
    <w:rsid w:val="000D04B1"/>
    <w:rsid w:val="000D0984"/>
    <w:rsid w:val="000D0C7C"/>
    <w:rsid w:val="000D0E13"/>
    <w:rsid w:val="000D1054"/>
    <w:rsid w:val="000D12A6"/>
    <w:rsid w:val="000D15D9"/>
    <w:rsid w:val="000D16E1"/>
    <w:rsid w:val="000D45F0"/>
    <w:rsid w:val="000D48DE"/>
    <w:rsid w:val="000D48F3"/>
    <w:rsid w:val="000D4A4F"/>
    <w:rsid w:val="000D4B2D"/>
    <w:rsid w:val="000D5210"/>
    <w:rsid w:val="000D6629"/>
    <w:rsid w:val="000D677C"/>
    <w:rsid w:val="000D6D04"/>
    <w:rsid w:val="000D7AAC"/>
    <w:rsid w:val="000E0006"/>
    <w:rsid w:val="000E027F"/>
    <w:rsid w:val="000E035F"/>
    <w:rsid w:val="000E037A"/>
    <w:rsid w:val="000E0AB0"/>
    <w:rsid w:val="000E0AE4"/>
    <w:rsid w:val="000E0C60"/>
    <w:rsid w:val="000E16C6"/>
    <w:rsid w:val="000E1758"/>
    <w:rsid w:val="000E29A3"/>
    <w:rsid w:val="000E335F"/>
    <w:rsid w:val="000E3551"/>
    <w:rsid w:val="000E3F87"/>
    <w:rsid w:val="000E45DB"/>
    <w:rsid w:val="000E478E"/>
    <w:rsid w:val="000E59F1"/>
    <w:rsid w:val="000E5A37"/>
    <w:rsid w:val="000E5ECA"/>
    <w:rsid w:val="000E62E1"/>
    <w:rsid w:val="000E688B"/>
    <w:rsid w:val="000E6912"/>
    <w:rsid w:val="000E69EF"/>
    <w:rsid w:val="000E6D28"/>
    <w:rsid w:val="000E736C"/>
    <w:rsid w:val="000E74C4"/>
    <w:rsid w:val="000E77EB"/>
    <w:rsid w:val="000E7D2F"/>
    <w:rsid w:val="000F01FC"/>
    <w:rsid w:val="000F07BE"/>
    <w:rsid w:val="000F0A89"/>
    <w:rsid w:val="000F11BF"/>
    <w:rsid w:val="000F1306"/>
    <w:rsid w:val="000F1584"/>
    <w:rsid w:val="000F29BC"/>
    <w:rsid w:val="000F2A8A"/>
    <w:rsid w:val="000F3634"/>
    <w:rsid w:val="000F4841"/>
    <w:rsid w:val="000F5313"/>
    <w:rsid w:val="000F5999"/>
    <w:rsid w:val="000F59C9"/>
    <w:rsid w:val="000F5B3F"/>
    <w:rsid w:val="000F5F51"/>
    <w:rsid w:val="000F6322"/>
    <w:rsid w:val="000F63F9"/>
    <w:rsid w:val="000F6536"/>
    <w:rsid w:val="000F75F8"/>
    <w:rsid w:val="000F78B9"/>
    <w:rsid w:val="000F799F"/>
    <w:rsid w:val="000F7A59"/>
    <w:rsid w:val="00100310"/>
    <w:rsid w:val="00100768"/>
    <w:rsid w:val="001009F2"/>
    <w:rsid w:val="00100DB2"/>
    <w:rsid w:val="00101033"/>
    <w:rsid w:val="00101104"/>
    <w:rsid w:val="00101298"/>
    <w:rsid w:val="001012FE"/>
    <w:rsid w:val="001017BC"/>
    <w:rsid w:val="001019C6"/>
    <w:rsid w:val="00101EE2"/>
    <w:rsid w:val="00102795"/>
    <w:rsid w:val="0010292D"/>
    <w:rsid w:val="00102B01"/>
    <w:rsid w:val="00102E85"/>
    <w:rsid w:val="00103271"/>
    <w:rsid w:val="001032B2"/>
    <w:rsid w:val="00103725"/>
    <w:rsid w:val="001041F5"/>
    <w:rsid w:val="0010434A"/>
    <w:rsid w:val="00104E07"/>
    <w:rsid w:val="001056AC"/>
    <w:rsid w:val="00105876"/>
    <w:rsid w:val="00105C58"/>
    <w:rsid w:val="001062B9"/>
    <w:rsid w:val="00106C85"/>
    <w:rsid w:val="00107775"/>
    <w:rsid w:val="0010777C"/>
    <w:rsid w:val="00107842"/>
    <w:rsid w:val="00107DE2"/>
    <w:rsid w:val="00110A32"/>
    <w:rsid w:val="001127CD"/>
    <w:rsid w:val="001129A9"/>
    <w:rsid w:val="00112FB6"/>
    <w:rsid w:val="001139E2"/>
    <w:rsid w:val="00113C29"/>
    <w:rsid w:val="0011405A"/>
    <w:rsid w:val="001146C0"/>
    <w:rsid w:val="00114D8F"/>
    <w:rsid w:val="0011506F"/>
    <w:rsid w:val="00115843"/>
    <w:rsid w:val="00115E56"/>
    <w:rsid w:val="00116117"/>
    <w:rsid w:val="00116476"/>
    <w:rsid w:val="00116482"/>
    <w:rsid w:val="0011751A"/>
    <w:rsid w:val="0012006E"/>
    <w:rsid w:val="00121E71"/>
    <w:rsid w:val="0012216A"/>
    <w:rsid w:val="00123A09"/>
    <w:rsid w:val="00123B5E"/>
    <w:rsid w:val="00123E31"/>
    <w:rsid w:val="001247F5"/>
    <w:rsid w:val="00124E5E"/>
    <w:rsid w:val="001252E4"/>
    <w:rsid w:val="00125358"/>
    <w:rsid w:val="0012566B"/>
    <w:rsid w:val="00125BF0"/>
    <w:rsid w:val="00125C64"/>
    <w:rsid w:val="00126FEA"/>
    <w:rsid w:val="00127038"/>
    <w:rsid w:val="00127191"/>
    <w:rsid w:val="0012720B"/>
    <w:rsid w:val="001274BE"/>
    <w:rsid w:val="00127627"/>
    <w:rsid w:val="00127643"/>
    <w:rsid w:val="0012789B"/>
    <w:rsid w:val="00127905"/>
    <w:rsid w:val="00127FBB"/>
    <w:rsid w:val="0013080C"/>
    <w:rsid w:val="00130DAE"/>
    <w:rsid w:val="00131448"/>
    <w:rsid w:val="00131BA2"/>
    <w:rsid w:val="00132EE1"/>
    <w:rsid w:val="001331E7"/>
    <w:rsid w:val="00133228"/>
    <w:rsid w:val="00133526"/>
    <w:rsid w:val="00133A35"/>
    <w:rsid w:val="00134382"/>
    <w:rsid w:val="00134FA0"/>
    <w:rsid w:val="0013511F"/>
    <w:rsid w:val="001351E4"/>
    <w:rsid w:val="001356BE"/>
    <w:rsid w:val="001356FC"/>
    <w:rsid w:val="001358D8"/>
    <w:rsid w:val="00135B38"/>
    <w:rsid w:val="00135BCE"/>
    <w:rsid w:val="001368E8"/>
    <w:rsid w:val="0013727F"/>
    <w:rsid w:val="001378C2"/>
    <w:rsid w:val="001378E0"/>
    <w:rsid w:val="00137B29"/>
    <w:rsid w:val="001408FB"/>
    <w:rsid w:val="00140E00"/>
    <w:rsid w:val="001413F6"/>
    <w:rsid w:val="001420C7"/>
    <w:rsid w:val="001421D3"/>
    <w:rsid w:val="00142A92"/>
    <w:rsid w:val="00142E4B"/>
    <w:rsid w:val="0014306D"/>
    <w:rsid w:val="001431F9"/>
    <w:rsid w:val="0014350C"/>
    <w:rsid w:val="00143520"/>
    <w:rsid w:val="00143A08"/>
    <w:rsid w:val="0014431E"/>
    <w:rsid w:val="00144DD1"/>
    <w:rsid w:val="001452FC"/>
    <w:rsid w:val="001456BE"/>
    <w:rsid w:val="00145876"/>
    <w:rsid w:val="00145E91"/>
    <w:rsid w:val="00146177"/>
    <w:rsid w:val="00146585"/>
    <w:rsid w:val="0014702C"/>
    <w:rsid w:val="00147156"/>
    <w:rsid w:val="00147290"/>
    <w:rsid w:val="001473A8"/>
    <w:rsid w:val="00150CEB"/>
    <w:rsid w:val="00151389"/>
    <w:rsid w:val="00151454"/>
    <w:rsid w:val="00151618"/>
    <w:rsid w:val="00151AF1"/>
    <w:rsid w:val="00153EFF"/>
    <w:rsid w:val="001542FA"/>
    <w:rsid w:val="00154737"/>
    <w:rsid w:val="001547E4"/>
    <w:rsid w:val="00154D78"/>
    <w:rsid w:val="0015692B"/>
    <w:rsid w:val="0015724F"/>
    <w:rsid w:val="00157CC2"/>
    <w:rsid w:val="00160098"/>
    <w:rsid w:val="001601FC"/>
    <w:rsid w:val="001605BA"/>
    <w:rsid w:val="00160E06"/>
    <w:rsid w:val="00161032"/>
    <w:rsid w:val="00161892"/>
    <w:rsid w:val="0016208B"/>
    <w:rsid w:val="0016227C"/>
    <w:rsid w:val="00162BAC"/>
    <w:rsid w:val="001639CE"/>
    <w:rsid w:val="00163AED"/>
    <w:rsid w:val="0016404D"/>
    <w:rsid w:val="001642C1"/>
    <w:rsid w:val="001646AF"/>
    <w:rsid w:val="00164BA2"/>
    <w:rsid w:val="00164E1E"/>
    <w:rsid w:val="00164EFA"/>
    <w:rsid w:val="00166597"/>
    <w:rsid w:val="00166741"/>
    <w:rsid w:val="00166824"/>
    <w:rsid w:val="00166D90"/>
    <w:rsid w:val="00166E6C"/>
    <w:rsid w:val="0016751A"/>
    <w:rsid w:val="001703E8"/>
    <w:rsid w:val="001707E0"/>
    <w:rsid w:val="001708C5"/>
    <w:rsid w:val="001708F2"/>
    <w:rsid w:val="00170A79"/>
    <w:rsid w:val="00170B53"/>
    <w:rsid w:val="00171394"/>
    <w:rsid w:val="001713C0"/>
    <w:rsid w:val="00171E11"/>
    <w:rsid w:val="001721C3"/>
    <w:rsid w:val="001721EA"/>
    <w:rsid w:val="001725FD"/>
    <w:rsid w:val="00172B18"/>
    <w:rsid w:val="00172C17"/>
    <w:rsid w:val="00172F03"/>
    <w:rsid w:val="00173AB3"/>
    <w:rsid w:val="00173F6C"/>
    <w:rsid w:val="0017400C"/>
    <w:rsid w:val="001741B5"/>
    <w:rsid w:val="0017466F"/>
    <w:rsid w:val="0017469B"/>
    <w:rsid w:val="00174F64"/>
    <w:rsid w:val="001759DE"/>
    <w:rsid w:val="00176584"/>
    <w:rsid w:val="001765A2"/>
    <w:rsid w:val="001765F2"/>
    <w:rsid w:val="0017766B"/>
    <w:rsid w:val="001806E3"/>
    <w:rsid w:val="00181467"/>
    <w:rsid w:val="00181D76"/>
    <w:rsid w:val="0018245E"/>
    <w:rsid w:val="00182978"/>
    <w:rsid w:val="001834B2"/>
    <w:rsid w:val="00184211"/>
    <w:rsid w:val="00184E11"/>
    <w:rsid w:val="00185F95"/>
    <w:rsid w:val="001861B9"/>
    <w:rsid w:val="001870B4"/>
    <w:rsid w:val="001876CA"/>
    <w:rsid w:val="001879A1"/>
    <w:rsid w:val="00187E69"/>
    <w:rsid w:val="001901D2"/>
    <w:rsid w:val="00190F1D"/>
    <w:rsid w:val="00190F41"/>
    <w:rsid w:val="0019113E"/>
    <w:rsid w:val="001913C1"/>
    <w:rsid w:val="00191A6F"/>
    <w:rsid w:val="00191CE0"/>
    <w:rsid w:val="00191DB6"/>
    <w:rsid w:val="001923D6"/>
    <w:rsid w:val="00192BEC"/>
    <w:rsid w:val="00192CE7"/>
    <w:rsid w:val="001930DC"/>
    <w:rsid w:val="0019313E"/>
    <w:rsid w:val="001934A5"/>
    <w:rsid w:val="001939BF"/>
    <w:rsid w:val="00193A45"/>
    <w:rsid w:val="00193AFC"/>
    <w:rsid w:val="00193F1D"/>
    <w:rsid w:val="00194065"/>
    <w:rsid w:val="001945C6"/>
    <w:rsid w:val="00194A63"/>
    <w:rsid w:val="00195221"/>
    <w:rsid w:val="00195574"/>
    <w:rsid w:val="00195E0F"/>
    <w:rsid w:val="001975F3"/>
    <w:rsid w:val="00197DE9"/>
    <w:rsid w:val="001A040F"/>
    <w:rsid w:val="001A0594"/>
    <w:rsid w:val="001A0946"/>
    <w:rsid w:val="001A0B28"/>
    <w:rsid w:val="001A2388"/>
    <w:rsid w:val="001A271D"/>
    <w:rsid w:val="001A369E"/>
    <w:rsid w:val="001A3A19"/>
    <w:rsid w:val="001A5509"/>
    <w:rsid w:val="001A633A"/>
    <w:rsid w:val="001A69F6"/>
    <w:rsid w:val="001A6B6D"/>
    <w:rsid w:val="001A71C8"/>
    <w:rsid w:val="001A78EF"/>
    <w:rsid w:val="001A7EAE"/>
    <w:rsid w:val="001B01B3"/>
    <w:rsid w:val="001B0796"/>
    <w:rsid w:val="001B16CE"/>
    <w:rsid w:val="001B19F2"/>
    <w:rsid w:val="001B28E2"/>
    <w:rsid w:val="001B28E9"/>
    <w:rsid w:val="001B34F7"/>
    <w:rsid w:val="001B34FF"/>
    <w:rsid w:val="001B3668"/>
    <w:rsid w:val="001B3E1F"/>
    <w:rsid w:val="001B4CEF"/>
    <w:rsid w:val="001B4D66"/>
    <w:rsid w:val="001B4EEB"/>
    <w:rsid w:val="001B5894"/>
    <w:rsid w:val="001B5AE3"/>
    <w:rsid w:val="001B600E"/>
    <w:rsid w:val="001B677D"/>
    <w:rsid w:val="001B6C7A"/>
    <w:rsid w:val="001B6FD2"/>
    <w:rsid w:val="001B7009"/>
    <w:rsid w:val="001B73BB"/>
    <w:rsid w:val="001B743D"/>
    <w:rsid w:val="001B7C78"/>
    <w:rsid w:val="001C02A6"/>
    <w:rsid w:val="001C02FD"/>
    <w:rsid w:val="001C0502"/>
    <w:rsid w:val="001C08FF"/>
    <w:rsid w:val="001C16BD"/>
    <w:rsid w:val="001C21FF"/>
    <w:rsid w:val="001C22E2"/>
    <w:rsid w:val="001C342F"/>
    <w:rsid w:val="001C3901"/>
    <w:rsid w:val="001C45EB"/>
    <w:rsid w:val="001C51D3"/>
    <w:rsid w:val="001C54E3"/>
    <w:rsid w:val="001C572F"/>
    <w:rsid w:val="001C5A38"/>
    <w:rsid w:val="001C61FF"/>
    <w:rsid w:val="001C649D"/>
    <w:rsid w:val="001C64D7"/>
    <w:rsid w:val="001C6790"/>
    <w:rsid w:val="001C6913"/>
    <w:rsid w:val="001C7180"/>
    <w:rsid w:val="001C73D2"/>
    <w:rsid w:val="001C7466"/>
    <w:rsid w:val="001C754D"/>
    <w:rsid w:val="001C7739"/>
    <w:rsid w:val="001C7BA5"/>
    <w:rsid w:val="001D02D9"/>
    <w:rsid w:val="001D0317"/>
    <w:rsid w:val="001D03AE"/>
    <w:rsid w:val="001D0552"/>
    <w:rsid w:val="001D05FF"/>
    <w:rsid w:val="001D0BF6"/>
    <w:rsid w:val="001D0CEE"/>
    <w:rsid w:val="001D0DC7"/>
    <w:rsid w:val="001D0F4C"/>
    <w:rsid w:val="001D11C7"/>
    <w:rsid w:val="001D16F0"/>
    <w:rsid w:val="001D1952"/>
    <w:rsid w:val="001D1F92"/>
    <w:rsid w:val="001D209F"/>
    <w:rsid w:val="001D39A4"/>
    <w:rsid w:val="001D3C10"/>
    <w:rsid w:val="001D3D06"/>
    <w:rsid w:val="001D49F4"/>
    <w:rsid w:val="001D5322"/>
    <w:rsid w:val="001D5D8B"/>
    <w:rsid w:val="001D6073"/>
    <w:rsid w:val="001D643A"/>
    <w:rsid w:val="001D6EE6"/>
    <w:rsid w:val="001D708C"/>
    <w:rsid w:val="001D7A36"/>
    <w:rsid w:val="001D7CA8"/>
    <w:rsid w:val="001E06AD"/>
    <w:rsid w:val="001E0A88"/>
    <w:rsid w:val="001E0E60"/>
    <w:rsid w:val="001E0EDE"/>
    <w:rsid w:val="001E10B7"/>
    <w:rsid w:val="001E138C"/>
    <w:rsid w:val="001E1C03"/>
    <w:rsid w:val="001E1DB7"/>
    <w:rsid w:val="001E1F82"/>
    <w:rsid w:val="001E2409"/>
    <w:rsid w:val="001E2745"/>
    <w:rsid w:val="001E2979"/>
    <w:rsid w:val="001E2B78"/>
    <w:rsid w:val="001E3595"/>
    <w:rsid w:val="001E3671"/>
    <w:rsid w:val="001E3D58"/>
    <w:rsid w:val="001E3F29"/>
    <w:rsid w:val="001E4C14"/>
    <w:rsid w:val="001E4F45"/>
    <w:rsid w:val="001E57A0"/>
    <w:rsid w:val="001E5990"/>
    <w:rsid w:val="001E65A6"/>
    <w:rsid w:val="001E673A"/>
    <w:rsid w:val="001E6923"/>
    <w:rsid w:val="001E6A2E"/>
    <w:rsid w:val="001E6B3A"/>
    <w:rsid w:val="001E6FFC"/>
    <w:rsid w:val="001E7D85"/>
    <w:rsid w:val="001E7FE3"/>
    <w:rsid w:val="001F00A9"/>
    <w:rsid w:val="001F07D3"/>
    <w:rsid w:val="001F098B"/>
    <w:rsid w:val="001F0E1C"/>
    <w:rsid w:val="001F1185"/>
    <w:rsid w:val="001F121E"/>
    <w:rsid w:val="001F130A"/>
    <w:rsid w:val="001F143E"/>
    <w:rsid w:val="001F1869"/>
    <w:rsid w:val="001F1E1A"/>
    <w:rsid w:val="001F2029"/>
    <w:rsid w:val="001F26AB"/>
    <w:rsid w:val="001F2B80"/>
    <w:rsid w:val="001F2DB7"/>
    <w:rsid w:val="001F35CF"/>
    <w:rsid w:val="001F3A05"/>
    <w:rsid w:val="001F3A1E"/>
    <w:rsid w:val="001F3ACD"/>
    <w:rsid w:val="001F3F98"/>
    <w:rsid w:val="001F416F"/>
    <w:rsid w:val="001F494A"/>
    <w:rsid w:val="001F5738"/>
    <w:rsid w:val="001F5C3E"/>
    <w:rsid w:val="001F65E2"/>
    <w:rsid w:val="001F6ED3"/>
    <w:rsid w:val="001F7495"/>
    <w:rsid w:val="001F77D4"/>
    <w:rsid w:val="0020074B"/>
    <w:rsid w:val="00200FB1"/>
    <w:rsid w:val="0020106C"/>
    <w:rsid w:val="002015A0"/>
    <w:rsid w:val="00201631"/>
    <w:rsid w:val="00201C5D"/>
    <w:rsid w:val="00201ED9"/>
    <w:rsid w:val="002022F8"/>
    <w:rsid w:val="00202F4E"/>
    <w:rsid w:val="00203131"/>
    <w:rsid w:val="00203138"/>
    <w:rsid w:val="002032C6"/>
    <w:rsid w:val="0020333B"/>
    <w:rsid w:val="002039DB"/>
    <w:rsid w:val="00204011"/>
    <w:rsid w:val="002040F6"/>
    <w:rsid w:val="00204214"/>
    <w:rsid w:val="0020449E"/>
    <w:rsid w:val="002044B3"/>
    <w:rsid w:val="00205379"/>
    <w:rsid w:val="002053BC"/>
    <w:rsid w:val="0020553F"/>
    <w:rsid w:val="00205612"/>
    <w:rsid w:val="00205BF3"/>
    <w:rsid w:val="002067E7"/>
    <w:rsid w:val="002067EA"/>
    <w:rsid w:val="00206867"/>
    <w:rsid w:val="00206D1A"/>
    <w:rsid w:val="00207257"/>
    <w:rsid w:val="00207E28"/>
    <w:rsid w:val="00210B7C"/>
    <w:rsid w:val="00210BCE"/>
    <w:rsid w:val="00211420"/>
    <w:rsid w:val="00211F0A"/>
    <w:rsid w:val="00211F45"/>
    <w:rsid w:val="00212033"/>
    <w:rsid w:val="00213AFD"/>
    <w:rsid w:val="00213CCC"/>
    <w:rsid w:val="002147AF"/>
    <w:rsid w:val="00215677"/>
    <w:rsid w:val="00215F5F"/>
    <w:rsid w:val="0021629A"/>
    <w:rsid w:val="0021662C"/>
    <w:rsid w:val="0021663A"/>
    <w:rsid w:val="00216962"/>
    <w:rsid w:val="00216E23"/>
    <w:rsid w:val="00216E41"/>
    <w:rsid w:val="00216ECF"/>
    <w:rsid w:val="002174F2"/>
    <w:rsid w:val="002176B8"/>
    <w:rsid w:val="00217A34"/>
    <w:rsid w:val="0022009B"/>
    <w:rsid w:val="002200E0"/>
    <w:rsid w:val="002201E2"/>
    <w:rsid w:val="0022035C"/>
    <w:rsid w:val="00220AAA"/>
    <w:rsid w:val="00221422"/>
    <w:rsid w:val="00221503"/>
    <w:rsid w:val="00222081"/>
    <w:rsid w:val="002223F4"/>
    <w:rsid w:val="00222FF3"/>
    <w:rsid w:val="00224229"/>
    <w:rsid w:val="00224417"/>
    <w:rsid w:val="002245C1"/>
    <w:rsid w:val="0022472D"/>
    <w:rsid w:val="00224C0F"/>
    <w:rsid w:val="00224F1C"/>
    <w:rsid w:val="00225188"/>
    <w:rsid w:val="0022549B"/>
    <w:rsid w:val="00225786"/>
    <w:rsid w:val="00225C88"/>
    <w:rsid w:val="00225D81"/>
    <w:rsid w:val="00225DF7"/>
    <w:rsid w:val="0022695D"/>
    <w:rsid w:val="00227596"/>
    <w:rsid w:val="00227656"/>
    <w:rsid w:val="00227A53"/>
    <w:rsid w:val="002302E9"/>
    <w:rsid w:val="00230316"/>
    <w:rsid w:val="002306CF"/>
    <w:rsid w:val="00230C31"/>
    <w:rsid w:val="00230E75"/>
    <w:rsid w:val="002312F9"/>
    <w:rsid w:val="0023133A"/>
    <w:rsid w:val="00231D76"/>
    <w:rsid w:val="00231F13"/>
    <w:rsid w:val="00232AD8"/>
    <w:rsid w:val="00232BEE"/>
    <w:rsid w:val="00232D1C"/>
    <w:rsid w:val="002332FB"/>
    <w:rsid w:val="002333B3"/>
    <w:rsid w:val="00233586"/>
    <w:rsid w:val="00233A24"/>
    <w:rsid w:val="00233B4E"/>
    <w:rsid w:val="00233B66"/>
    <w:rsid w:val="00233CE2"/>
    <w:rsid w:val="00233E14"/>
    <w:rsid w:val="002340BD"/>
    <w:rsid w:val="00234633"/>
    <w:rsid w:val="002355F7"/>
    <w:rsid w:val="00235D33"/>
    <w:rsid w:val="0023616A"/>
    <w:rsid w:val="00236378"/>
    <w:rsid w:val="002367B6"/>
    <w:rsid w:val="00236D60"/>
    <w:rsid w:val="002375EB"/>
    <w:rsid w:val="00237626"/>
    <w:rsid w:val="00237FE4"/>
    <w:rsid w:val="0024017E"/>
    <w:rsid w:val="002404D6"/>
    <w:rsid w:val="00241177"/>
    <w:rsid w:val="0024117E"/>
    <w:rsid w:val="00241262"/>
    <w:rsid w:val="00241AB4"/>
    <w:rsid w:val="00242478"/>
    <w:rsid w:val="002435BD"/>
    <w:rsid w:val="0024380D"/>
    <w:rsid w:val="00243C53"/>
    <w:rsid w:val="00243EDD"/>
    <w:rsid w:val="002440FB"/>
    <w:rsid w:val="00244643"/>
    <w:rsid w:val="0024486B"/>
    <w:rsid w:val="00244EC3"/>
    <w:rsid w:val="00245486"/>
    <w:rsid w:val="00245D84"/>
    <w:rsid w:val="00245FE0"/>
    <w:rsid w:val="00245FE1"/>
    <w:rsid w:val="00246A5E"/>
    <w:rsid w:val="002472C2"/>
    <w:rsid w:val="0024753F"/>
    <w:rsid w:val="00247785"/>
    <w:rsid w:val="0024795F"/>
    <w:rsid w:val="00250D33"/>
    <w:rsid w:val="00250D3D"/>
    <w:rsid w:val="00251F22"/>
    <w:rsid w:val="00252888"/>
    <w:rsid w:val="00252930"/>
    <w:rsid w:val="002529C6"/>
    <w:rsid w:val="0025316E"/>
    <w:rsid w:val="002535B4"/>
    <w:rsid w:val="00253DEA"/>
    <w:rsid w:val="00254394"/>
    <w:rsid w:val="00254484"/>
    <w:rsid w:val="00254B0E"/>
    <w:rsid w:val="00254B81"/>
    <w:rsid w:val="0025549F"/>
    <w:rsid w:val="0025579E"/>
    <w:rsid w:val="002557C0"/>
    <w:rsid w:val="002559C4"/>
    <w:rsid w:val="00255C83"/>
    <w:rsid w:val="00256137"/>
    <w:rsid w:val="0025651A"/>
    <w:rsid w:val="002567D9"/>
    <w:rsid w:val="002567ED"/>
    <w:rsid w:val="002568A5"/>
    <w:rsid w:val="002570B6"/>
    <w:rsid w:val="0025745A"/>
    <w:rsid w:val="00260A91"/>
    <w:rsid w:val="002615AA"/>
    <w:rsid w:val="002616D6"/>
    <w:rsid w:val="00261B57"/>
    <w:rsid w:val="0026202C"/>
    <w:rsid w:val="002620CF"/>
    <w:rsid w:val="00262CE2"/>
    <w:rsid w:val="00262E46"/>
    <w:rsid w:val="00262FFC"/>
    <w:rsid w:val="0026317E"/>
    <w:rsid w:val="00263760"/>
    <w:rsid w:val="002638FF"/>
    <w:rsid w:val="00263978"/>
    <w:rsid w:val="00263DFD"/>
    <w:rsid w:val="002650F5"/>
    <w:rsid w:val="00265725"/>
    <w:rsid w:val="00265B28"/>
    <w:rsid w:val="002660A5"/>
    <w:rsid w:val="0026655E"/>
    <w:rsid w:val="00266B7D"/>
    <w:rsid w:val="00267181"/>
    <w:rsid w:val="002702CC"/>
    <w:rsid w:val="002707A0"/>
    <w:rsid w:val="00270EFD"/>
    <w:rsid w:val="00271124"/>
    <w:rsid w:val="002714DA"/>
    <w:rsid w:val="00271C5A"/>
    <w:rsid w:val="0027230E"/>
    <w:rsid w:val="00272A09"/>
    <w:rsid w:val="00272C1B"/>
    <w:rsid w:val="00272CDA"/>
    <w:rsid w:val="00273102"/>
    <w:rsid w:val="00274441"/>
    <w:rsid w:val="00274720"/>
    <w:rsid w:val="00274C4C"/>
    <w:rsid w:val="00274D1D"/>
    <w:rsid w:val="00275862"/>
    <w:rsid w:val="00275C15"/>
    <w:rsid w:val="00275F7E"/>
    <w:rsid w:val="00276050"/>
    <w:rsid w:val="0027617E"/>
    <w:rsid w:val="00276F29"/>
    <w:rsid w:val="00277967"/>
    <w:rsid w:val="00277CA9"/>
    <w:rsid w:val="0028001E"/>
    <w:rsid w:val="002802D2"/>
    <w:rsid w:val="00280496"/>
    <w:rsid w:val="0028076B"/>
    <w:rsid w:val="00280D3F"/>
    <w:rsid w:val="0028136B"/>
    <w:rsid w:val="00281631"/>
    <w:rsid w:val="002818B7"/>
    <w:rsid w:val="00281A01"/>
    <w:rsid w:val="00282003"/>
    <w:rsid w:val="0028272A"/>
    <w:rsid w:val="00282D72"/>
    <w:rsid w:val="00283104"/>
    <w:rsid w:val="00283230"/>
    <w:rsid w:val="0028387D"/>
    <w:rsid w:val="002838A5"/>
    <w:rsid w:val="00283F6C"/>
    <w:rsid w:val="00284051"/>
    <w:rsid w:val="002843A4"/>
    <w:rsid w:val="002844FB"/>
    <w:rsid w:val="00284899"/>
    <w:rsid w:val="00284BBB"/>
    <w:rsid w:val="0028663A"/>
    <w:rsid w:val="002868CB"/>
    <w:rsid w:val="0028747A"/>
    <w:rsid w:val="00287494"/>
    <w:rsid w:val="002874E0"/>
    <w:rsid w:val="0029037C"/>
    <w:rsid w:val="002903BD"/>
    <w:rsid w:val="00290A38"/>
    <w:rsid w:val="00290E5E"/>
    <w:rsid w:val="00290F84"/>
    <w:rsid w:val="00291BFC"/>
    <w:rsid w:val="00292513"/>
    <w:rsid w:val="00292629"/>
    <w:rsid w:val="0029334A"/>
    <w:rsid w:val="00293F04"/>
    <w:rsid w:val="002948EB"/>
    <w:rsid w:val="00294C67"/>
    <w:rsid w:val="00294D74"/>
    <w:rsid w:val="00294FCD"/>
    <w:rsid w:val="0029504F"/>
    <w:rsid w:val="00295430"/>
    <w:rsid w:val="00295641"/>
    <w:rsid w:val="00295B6C"/>
    <w:rsid w:val="00295D2C"/>
    <w:rsid w:val="00297B7E"/>
    <w:rsid w:val="00297D04"/>
    <w:rsid w:val="002A0277"/>
    <w:rsid w:val="002A0C0C"/>
    <w:rsid w:val="002A1158"/>
    <w:rsid w:val="002A12C7"/>
    <w:rsid w:val="002A1AB5"/>
    <w:rsid w:val="002A1D3C"/>
    <w:rsid w:val="002A21FB"/>
    <w:rsid w:val="002A2B4F"/>
    <w:rsid w:val="002A31FE"/>
    <w:rsid w:val="002A38B7"/>
    <w:rsid w:val="002A3BEE"/>
    <w:rsid w:val="002A3CAA"/>
    <w:rsid w:val="002A4B48"/>
    <w:rsid w:val="002A4D19"/>
    <w:rsid w:val="002A54A1"/>
    <w:rsid w:val="002A54DA"/>
    <w:rsid w:val="002A589C"/>
    <w:rsid w:val="002A590B"/>
    <w:rsid w:val="002A6909"/>
    <w:rsid w:val="002A6959"/>
    <w:rsid w:val="002A7101"/>
    <w:rsid w:val="002A7311"/>
    <w:rsid w:val="002A7630"/>
    <w:rsid w:val="002A7BA6"/>
    <w:rsid w:val="002A7FD4"/>
    <w:rsid w:val="002B079A"/>
    <w:rsid w:val="002B1B7B"/>
    <w:rsid w:val="002B231D"/>
    <w:rsid w:val="002B3110"/>
    <w:rsid w:val="002B3295"/>
    <w:rsid w:val="002B3460"/>
    <w:rsid w:val="002B35D7"/>
    <w:rsid w:val="002B3691"/>
    <w:rsid w:val="002B3751"/>
    <w:rsid w:val="002B3862"/>
    <w:rsid w:val="002B5881"/>
    <w:rsid w:val="002B612A"/>
    <w:rsid w:val="002B6295"/>
    <w:rsid w:val="002B65AD"/>
    <w:rsid w:val="002B68B9"/>
    <w:rsid w:val="002B695A"/>
    <w:rsid w:val="002B6ECA"/>
    <w:rsid w:val="002B70A4"/>
    <w:rsid w:val="002B72B8"/>
    <w:rsid w:val="002B74B6"/>
    <w:rsid w:val="002C008C"/>
    <w:rsid w:val="002C0974"/>
    <w:rsid w:val="002C09E5"/>
    <w:rsid w:val="002C1854"/>
    <w:rsid w:val="002C198B"/>
    <w:rsid w:val="002C1E5B"/>
    <w:rsid w:val="002C1EDA"/>
    <w:rsid w:val="002C2037"/>
    <w:rsid w:val="002C2194"/>
    <w:rsid w:val="002C23A2"/>
    <w:rsid w:val="002C2F06"/>
    <w:rsid w:val="002C3D12"/>
    <w:rsid w:val="002C43EE"/>
    <w:rsid w:val="002C4527"/>
    <w:rsid w:val="002C4B69"/>
    <w:rsid w:val="002C55E2"/>
    <w:rsid w:val="002C6223"/>
    <w:rsid w:val="002C6267"/>
    <w:rsid w:val="002C65B4"/>
    <w:rsid w:val="002C6ED0"/>
    <w:rsid w:val="002C6EE4"/>
    <w:rsid w:val="002D053F"/>
    <w:rsid w:val="002D11EC"/>
    <w:rsid w:val="002D17AD"/>
    <w:rsid w:val="002D1876"/>
    <w:rsid w:val="002D1E06"/>
    <w:rsid w:val="002D1EB2"/>
    <w:rsid w:val="002D2FE6"/>
    <w:rsid w:val="002D2FFF"/>
    <w:rsid w:val="002D33E8"/>
    <w:rsid w:val="002D3C12"/>
    <w:rsid w:val="002D42BC"/>
    <w:rsid w:val="002D460D"/>
    <w:rsid w:val="002D4D2A"/>
    <w:rsid w:val="002D4D73"/>
    <w:rsid w:val="002D4E9B"/>
    <w:rsid w:val="002D5289"/>
    <w:rsid w:val="002D5781"/>
    <w:rsid w:val="002D597B"/>
    <w:rsid w:val="002D5B2F"/>
    <w:rsid w:val="002D6967"/>
    <w:rsid w:val="002D6EE8"/>
    <w:rsid w:val="002D7071"/>
    <w:rsid w:val="002D7A17"/>
    <w:rsid w:val="002D7F53"/>
    <w:rsid w:val="002E0479"/>
    <w:rsid w:val="002E0DED"/>
    <w:rsid w:val="002E0F84"/>
    <w:rsid w:val="002E1156"/>
    <w:rsid w:val="002E1FDC"/>
    <w:rsid w:val="002E20C7"/>
    <w:rsid w:val="002E2B3C"/>
    <w:rsid w:val="002E3447"/>
    <w:rsid w:val="002E347D"/>
    <w:rsid w:val="002E3511"/>
    <w:rsid w:val="002E412E"/>
    <w:rsid w:val="002E4C29"/>
    <w:rsid w:val="002E4C57"/>
    <w:rsid w:val="002E50ED"/>
    <w:rsid w:val="002E53F9"/>
    <w:rsid w:val="002E5425"/>
    <w:rsid w:val="002E58E9"/>
    <w:rsid w:val="002E5999"/>
    <w:rsid w:val="002E622F"/>
    <w:rsid w:val="002E6603"/>
    <w:rsid w:val="002E66CE"/>
    <w:rsid w:val="002E672C"/>
    <w:rsid w:val="002E67F5"/>
    <w:rsid w:val="002E7069"/>
    <w:rsid w:val="002E7088"/>
    <w:rsid w:val="002E789D"/>
    <w:rsid w:val="002E7A41"/>
    <w:rsid w:val="002E7C3F"/>
    <w:rsid w:val="002E7E30"/>
    <w:rsid w:val="002E7E7C"/>
    <w:rsid w:val="002F014D"/>
    <w:rsid w:val="002F02E2"/>
    <w:rsid w:val="002F0632"/>
    <w:rsid w:val="002F099D"/>
    <w:rsid w:val="002F0C25"/>
    <w:rsid w:val="002F1563"/>
    <w:rsid w:val="002F1656"/>
    <w:rsid w:val="002F16E4"/>
    <w:rsid w:val="002F1BE2"/>
    <w:rsid w:val="002F1BF8"/>
    <w:rsid w:val="002F1ED0"/>
    <w:rsid w:val="002F26F5"/>
    <w:rsid w:val="002F2965"/>
    <w:rsid w:val="002F30F8"/>
    <w:rsid w:val="002F36C5"/>
    <w:rsid w:val="002F436B"/>
    <w:rsid w:val="002F4488"/>
    <w:rsid w:val="002F4BEE"/>
    <w:rsid w:val="002F4CA6"/>
    <w:rsid w:val="002F4CC5"/>
    <w:rsid w:val="002F5187"/>
    <w:rsid w:val="002F530C"/>
    <w:rsid w:val="002F576C"/>
    <w:rsid w:val="002F59DE"/>
    <w:rsid w:val="002F5A5F"/>
    <w:rsid w:val="002F6567"/>
    <w:rsid w:val="002F6C23"/>
    <w:rsid w:val="002F7821"/>
    <w:rsid w:val="002F78A1"/>
    <w:rsid w:val="002F7923"/>
    <w:rsid w:val="002F7E44"/>
    <w:rsid w:val="00300059"/>
    <w:rsid w:val="00300698"/>
    <w:rsid w:val="00300E70"/>
    <w:rsid w:val="0030102E"/>
    <w:rsid w:val="00301079"/>
    <w:rsid w:val="00301182"/>
    <w:rsid w:val="00301430"/>
    <w:rsid w:val="00302254"/>
    <w:rsid w:val="00303CE8"/>
    <w:rsid w:val="00305271"/>
    <w:rsid w:val="00305360"/>
    <w:rsid w:val="00305807"/>
    <w:rsid w:val="00305A1A"/>
    <w:rsid w:val="00306AF4"/>
    <w:rsid w:val="00306D3E"/>
    <w:rsid w:val="003075BE"/>
    <w:rsid w:val="003075C6"/>
    <w:rsid w:val="003077D7"/>
    <w:rsid w:val="0030792C"/>
    <w:rsid w:val="00307CC1"/>
    <w:rsid w:val="003102CC"/>
    <w:rsid w:val="00310983"/>
    <w:rsid w:val="00311286"/>
    <w:rsid w:val="00311827"/>
    <w:rsid w:val="00311CC4"/>
    <w:rsid w:val="00312E12"/>
    <w:rsid w:val="00313916"/>
    <w:rsid w:val="003141B4"/>
    <w:rsid w:val="00314F64"/>
    <w:rsid w:val="003150DB"/>
    <w:rsid w:val="00315341"/>
    <w:rsid w:val="00315E45"/>
    <w:rsid w:val="00316ABD"/>
    <w:rsid w:val="00316F7E"/>
    <w:rsid w:val="0031794F"/>
    <w:rsid w:val="00317BAD"/>
    <w:rsid w:val="00317D05"/>
    <w:rsid w:val="0032034B"/>
    <w:rsid w:val="00320571"/>
    <w:rsid w:val="00320729"/>
    <w:rsid w:val="00321210"/>
    <w:rsid w:val="003212A4"/>
    <w:rsid w:val="00322226"/>
    <w:rsid w:val="00322275"/>
    <w:rsid w:val="00322D6C"/>
    <w:rsid w:val="00322FEA"/>
    <w:rsid w:val="003238F0"/>
    <w:rsid w:val="003245A2"/>
    <w:rsid w:val="00324667"/>
    <w:rsid w:val="00324B23"/>
    <w:rsid w:val="00324BF2"/>
    <w:rsid w:val="003253AC"/>
    <w:rsid w:val="00325525"/>
    <w:rsid w:val="003261F8"/>
    <w:rsid w:val="003266EA"/>
    <w:rsid w:val="00326AE2"/>
    <w:rsid w:val="0032759E"/>
    <w:rsid w:val="00327D9F"/>
    <w:rsid w:val="00330B40"/>
    <w:rsid w:val="00330DD5"/>
    <w:rsid w:val="00330EBF"/>
    <w:rsid w:val="00331850"/>
    <w:rsid w:val="00331903"/>
    <w:rsid w:val="00331B23"/>
    <w:rsid w:val="0033200A"/>
    <w:rsid w:val="00332041"/>
    <w:rsid w:val="0033245F"/>
    <w:rsid w:val="00332645"/>
    <w:rsid w:val="00332BD3"/>
    <w:rsid w:val="00332BED"/>
    <w:rsid w:val="00332C7E"/>
    <w:rsid w:val="00333020"/>
    <w:rsid w:val="003332C1"/>
    <w:rsid w:val="00333B0F"/>
    <w:rsid w:val="00333DA4"/>
    <w:rsid w:val="00333ED3"/>
    <w:rsid w:val="00334737"/>
    <w:rsid w:val="00334992"/>
    <w:rsid w:val="00334A37"/>
    <w:rsid w:val="00334C60"/>
    <w:rsid w:val="00334CFD"/>
    <w:rsid w:val="00335C20"/>
    <w:rsid w:val="00335E2F"/>
    <w:rsid w:val="003367AD"/>
    <w:rsid w:val="00336874"/>
    <w:rsid w:val="00336B42"/>
    <w:rsid w:val="00336CB1"/>
    <w:rsid w:val="00337256"/>
    <w:rsid w:val="003407B3"/>
    <w:rsid w:val="00340F65"/>
    <w:rsid w:val="003415AB"/>
    <w:rsid w:val="003421C6"/>
    <w:rsid w:val="003422C5"/>
    <w:rsid w:val="0034237C"/>
    <w:rsid w:val="0034271F"/>
    <w:rsid w:val="00342C57"/>
    <w:rsid w:val="00345953"/>
    <w:rsid w:val="00345F2D"/>
    <w:rsid w:val="0034617B"/>
    <w:rsid w:val="003467F7"/>
    <w:rsid w:val="00346C95"/>
    <w:rsid w:val="0034764C"/>
    <w:rsid w:val="00347A66"/>
    <w:rsid w:val="003504DB"/>
    <w:rsid w:val="00351C04"/>
    <w:rsid w:val="00351CE4"/>
    <w:rsid w:val="00352196"/>
    <w:rsid w:val="00352204"/>
    <w:rsid w:val="003522C3"/>
    <w:rsid w:val="0035243D"/>
    <w:rsid w:val="0035286C"/>
    <w:rsid w:val="00353B0F"/>
    <w:rsid w:val="00353F17"/>
    <w:rsid w:val="00353F48"/>
    <w:rsid w:val="00354B72"/>
    <w:rsid w:val="00354D8C"/>
    <w:rsid w:val="0035598B"/>
    <w:rsid w:val="00355F3C"/>
    <w:rsid w:val="00356691"/>
    <w:rsid w:val="0035715E"/>
    <w:rsid w:val="003576E9"/>
    <w:rsid w:val="0036076D"/>
    <w:rsid w:val="0036086C"/>
    <w:rsid w:val="0036091A"/>
    <w:rsid w:val="00360943"/>
    <w:rsid w:val="00360C75"/>
    <w:rsid w:val="00360D36"/>
    <w:rsid w:val="003612AF"/>
    <w:rsid w:val="00361950"/>
    <w:rsid w:val="00361D8C"/>
    <w:rsid w:val="0036207A"/>
    <w:rsid w:val="003621ED"/>
    <w:rsid w:val="003629D3"/>
    <w:rsid w:val="00362C28"/>
    <w:rsid w:val="00362DF7"/>
    <w:rsid w:val="003631E6"/>
    <w:rsid w:val="00363A9E"/>
    <w:rsid w:val="00364025"/>
    <w:rsid w:val="00364502"/>
    <w:rsid w:val="00364C52"/>
    <w:rsid w:val="003650C4"/>
    <w:rsid w:val="00365361"/>
    <w:rsid w:val="0036556E"/>
    <w:rsid w:val="00365A75"/>
    <w:rsid w:val="003668D7"/>
    <w:rsid w:val="00366F95"/>
    <w:rsid w:val="0036732B"/>
    <w:rsid w:val="00367491"/>
    <w:rsid w:val="003704BA"/>
    <w:rsid w:val="00370A38"/>
    <w:rsid w:val="00370DF3"/>
    <w:rsid w:val="00370E44"/>
    <w:rsid w:val="00370E6C"/>
    <w:rsid w:val="00370EC3"/>
    <w:rsid w:val="00370FAE"/>
    <w:rsid w:val="0037120F"/>
    <w:rsid w:val="00371658"/>
    <w:rsid w:val="003718E6"/>
    <w:rsid w:val="003720DB"/>
    <w:rsid w:val="00372232"/>
    <w:rsid w:val="00372611"/>
    <w:rsid w:val="00372856"/>
    <w:rsid w:val="0037317A"/>
    <w:rsid w:val="00373938"/>
    <w:rsid w:val="003740FA"/>
    <w:rsid w:val="00374A77"/>
    <w:rsid w:val="00374E3F"/>
    <w:rsid w:val="00374F9B"/>
    <w:rsid w:val="003751D1"/>
    <w:rsid w:val="00375810"/>
    <w:rsid w:val="00375DE7"/>
    <w:rsid w:val="0037601E"/>
    <w:rsid w:val="00376ABF"/>
    <w:rsid w:val="00377541"/>
    <w:rsid w:val="00377D24"/>
    <w:rsid w:val="003800C1"/>
    <w:rsid w:val="00380B5F"/>
    <w:rsid w:val="00380ECD"/>
    <w:rsid w:val="0038116A"/>
    <w:rsid w:val="0038168F"/>
    <w:rsid w:val="0038174F"/>
    <w:rsid w:val="00382148"/>
    <w:rsid w:val="00382284"/>
    <w:rsid w:val="0038283D"/>
    <w:rsid w:val="00382F70"/>
    <w:rsid w:val="003830A6"/>
    <w:rsid w:val="0038353A"/>
    <w:rsid w:val="00384499"/>
    <w:rsid w:val="0038454C"/>
    <w:rsid w:val="0038461B"/>
    <w:rsid w:val="00384A1B"/>
    <w:rsid w:val="00384C5D"/>
    <w:rsid w:val="00384DDC"/>
    <w:rsid w:val="00385072"/>
    <w:rsid w:val="00385223"/>
    <w:rsid w:val="0038561F"/>
    <w:rsid w:val="00385A3C"/>
    <w:rsid w:val="00385B03"/>
    <w:rsid w:val="00385B64"/>
    <w:rsid w:val="00385CB0"/>
    <w:rsid w:val="00386715"/>
    <w:rsid w:val="00386899"/>
    <w:rsid w:val="00386DF6"/>
    <w:rsid w:val="00386E4A"/>
    <w:rsid w:val="00386EA0"/>
    <w:rsid w:val="0038713B"/>
    <w:rsid w:val="0038786E"/>
    <w:rsid w:val="00387A57"/>
    <w:rsid w:val="00387A98"/>
    <w:rsid w:val="00387D86"/>
    <w:rsid w:val="0039001B"/>
    <w:rsid w:val="00390152"/>
    <w:rsid w:val="00390378"/>
    <w:rsid w:val="0039082A"/>
    <w:rsid w:val="00391041"/>
    <w:rsid w:val="0039120A"/>
    <w:rsid w:val="00391229"/>
    <w:rsid w:val="0039172A"/>
    <w:rsid w:val="00391924"/>
    <w:rsid w:val="00391D24"/>
    <w:rsid w:val="00391EB4"/>
    <w:rsid w:val="0039249F"/>
    <w:rsid w:val="003929F6"/>
    <w:rsid w:val="00392A38"/>
    <w:rsid w:val="00392AC5"/>
    <w:rsid w:val="0039364C"/>
    <w:rsid w:val="00393C7E"/>
    <w:rsid w:val="00393CB7"/>
    <w:rsid w:val="00393FC5"/>
    <w:rsid w:val="003947D6"/>
    <w:rsid w:val="00394879"/>
    <w:rsid w:val="00394F51"/>
    <w:rsid w:val="0039533C"/>
    <w:rsid w:val="00395503"/>
    <w:rsid w:val="0039553A"/>
    <w:rsid w:val="0039577C"/>
    <w:rsid w:val="00395B3B"/>
    <w:rsid w:val="00395CCE"/>
    <w:rsid w:val="00395EFA"/>
    <w:rsid w:val="003967C6"/>
    <w:rsid w:val="003967F8"/>
    <w:rsid w:val="00397103"/>
    <w:rsid w:val="00397227"/>
    <w:rsid w:val="00397287"/>
    <w:rsid w:val="00397834"/>
    <w:rsid w:val="00397A14"/>
    <w:rsid w:val="00397CF8"/>
    <w:rsid w:val="00397E7A"/>
    <w:rsid w:val="003A02B2"/>
    <w:rsid w:val="003A0621"/>
    <w:rsid w:val="003A0BCB"/>
    <w:rsid w:val="003A0EEB"/>
    <w:rsid w:val="003A116C"/>
    <w:rsid w:val="003A1A59"/>
    <w:rsid w:val="003A1C27"/>
    <w:rsid w:val="003A1C77"/>
    <w:rsid w:val="003A23CE"/>
    <w:rsid w:val="003A2BB1"/>
    <w:rsid w:val="003A3363"/>
    <w:rsid w:val="003A355D"/>
    <w:rsid w:val="003A35A9"/>
    <w:rsid w:val="003A3D03"/>
    <w:rsid w:val="003A3D59"/>
    <w:rsid w:val="003A3EE8"/>
    <w:rsid w:val="003A4254"/>
    <w:rsid w:val="003A4E2C"/>
    <w:rsid w:val="003A5FAD"/>
    <w:rsid w:val="003A605B"/>
    <w:rsid w:val="003A65B2"/>
    <w:rsid w:val="003A6A0C"/>
    <w:rsid w:val="003A6A86"/>
    <w:rsid w:val="003A6F20"/>
    <w:rsid w:val="003A74FA"/>
    <w:rsid w:val="003A7786"/>
    <w:rsid w:val="003A7932"/>
    <w:rsid w:val="003A7CBF"/>
    <w:rsid w:val="003B04B5"/>
    <w:rsid w:val="003B0547"/>
    <w:rsid w:val="003B05C3"/>
    <w:rsid w:val="003B0675"/>
    <w:rsid w:val="003B06D9"/>
    <w:rsid w:val="003B08D2"/>
    <w:rsid w:val="003B08FB"/>
    <w:rsid w:val="003B0F0D"/>
    <w:rsid w:val="003B18F0"/>
    <w:rsid w:val="003B1930"/>
    <w:rsid w:val="003B1E6C"/>
    <w:rsid w:val="003B215B"/>
    <w:rsid w:val="003B27F4"/>
    <w:rsid w:val="003B27FC"/>
    <w:rsid w:val="003B2AE3"/>
    <w:rsid w:val="003B339A"/>
    <w:rsid w:val="003B38A8"/>
    <w:rsid w:val="003B3C9C"/>
    <w:rsid w:val="003B3DA8"/>
    <w:rsid w:val="003B3FC0"/>
    <w:rsid w:val="003B41AF"/>
    <w:rsid w:val="003B452A"/>
    <w:rsid w:val="003B4A00"/>
    <w:rsid w:val="003B4A04"/>
    <w:rsid w:val="003B5AC9"/>
    <w:rsid w:val="003B6EC7"/>
    <w:rsid w:val="003B7641"/>
    <w:rsid w:val="003C0110"/>
    <w:rsid w:val="003C04C0"/>
    <w:rsid w:val="003C06B4"/>
    <w:rsid w:val="003C09D1"/>
    <w:rsid w:val="003C0B7B"/>
    <w:rsid w:val="003C0F6D"/>
    <w:rsid w:val="003C1097"/>
    <w:rsid w:val="003C111D"/>
    <w:rsid w:val="003C1F72"/>
    <w:rsid w:val="003C21E4"/>
    <w:rsid w:val="003C24C2"/>
    <w:rsid w:val="003C2507"/>
    <w:rsid w:val="003C25E9"/>
    <w:rsid w:val="003C2CA5"/>
    <w:rsid w:val="003C2EDE"/>
    <w:rsid w:val="003C3608"/>
    <w:rsid w:val="003C3B23"/>
    <w:rsid w:val="003C41C3"/>
    <w:rsid w:val="003C49E5"/>
    <w:rsid w:val="003C4F2A"/>
    <w:rsid w:val="003C50A3"/>
    <w:rsid w:val="003C732B"/>
    <w:rsid w:val="003C7992"/>
    <w:rsid w:val="003C7A07"/>
    <w:rsid w:val="003D0CD5"/>
    <w:rsid w:val="003D1CEC"/>
    <w:rsid w:val="003D2FF6"/>
    <w:rsid w:val="003D35E8"/>
    <w:rsid w:val="003D36E0"/>
    <w:rsid w:val="003D37D6"/>
    <w:rsid w:val="003D3869"/>
    <w:rsid w:val="003D3C9B"/>
    <w:rsid w:val="003D3FCD"/>
    <w:rsid w:val="003D4470"/>
    <w:rsid w:val="003D4CA4"/>
    <w:rsid w:val="003D5247"/>
    <w:rsid w:val="003D5D0E"/>
    <w:rsid w:val="003D604E"/>
    <w:rsid w:val="003D621A"/>
    <w:rsid w:val="003D65EA"/>
    <w:rsid w:val="003D69F0"/>
    <w:rsid w:val="003D7B8C"/>
    <w:rsid w:val="003D7CD5"/>
    <w:rsid w:val="003E0237"/>
    <w:rsid w:val="003E093D"/>
    <w:rsid w:val="003E1ACA"/>
    <w:rsid w:val="003E218F"/>
    <w:rsid w:val="003E2227"/>
    <w:rsid w:val="003E26B4"/>
    <w:rsid w:val="003E2B2C"/>
    <w:rsid w:val="003E2DCE"/>
    <w:rsid w:val="003E3207"/>
    <w:rsid w:val="003E3279"/>
    <w:rsid w:val="003E3535"/>
    <w:rsid w:val="003E3744"/>
    <w:rsid w:val="003E392A"/>
    <w:rsid w:val="003E3965"/>
    <w:rsid w:val="003E3C45"/>
    <w:rsid w:val="003E408D"/>
    <w:rsid w:val="003E42B2"/>
    <w:rsid w:val="003E43CC"/>
    <w:rsid w:val="003E43DD"/>
    <w:rsid w:val="003E4D8A"/>
    <w:rsid w:val="003E4DD0"/>
    <w:rsid w:val="003E5863"/>
    <w:rsid w:val="003E6020"/>
    <w:rsid w:val="003E6431"/>
    <w:rsid w:val="003E6D8D"/>
    <w:rsid w:val="003E7090"/>
    <w:rsid w:val="003E70C9"/>
    <w:rsid w:val="003E72E5"/>
    <w:rsid w:val="003E72E8"/>
    <w:rsid w:val="003E7459"/>
    <w:rsid w:val="003E77BC"/>
    <w:rsid w:val="003E7B2B"/>
    <w:rsid w:val="003E7B37"/>
    <w:rsid w:val="003E7B78"/>
    <w:rsid w:val="003E7EA7"/>
    <w:rsid w:val="003F017B"/>
    <w:rsid w:val="003F024E"/>
    <w:rsid w:val="003F0302"/>
    <w:rsid w:val="003F0920"/>
    <w:rsid w:val="003F095E"/>
    <w:rsid w:val="003F170F"/>
    <w:rsid w:val="003F26FE"/>
    <w:rsid w:val="003F35E4"/>
    <w:rsid w:val="003F3825"/>
    <w:rsid w:val="003F3956"/>
    <w:rsid w:val="003F3A63"/>
    <w:rsid w:val="003F43AB"/>
    <w:rsid w:val="003F451C"/>
    <w:rsid w:val="003F4609"/>
    <w:rsid w:val="003F485A"/>
    <w:rsid w:val="003F4B6E"/>
    <w:rsid w:val="003F4BC7"/>
    <w:rsid w:val="003F54BB"/>
    <w:rsid w:val="003F54D9"/>
    <w:rsid w:val="003F5512"/>
    <w:rsid w:val="003F55BF"/>
    <w:rsid w:val="003F5961"/>
    <w:rsid w:val="003F5987"/>
    <w:rsid w:val="003F5F22"/>
    <w:rsid w:val="003F64CD"/>
    <w:rsid w:val="003F658C"/>
    <w:rsid w:val="003F70EA"/>
    <w:rsid w:val="003F766D"/>
    <w:rsid w:val="003F7EA8"/>
    <w:rsid w:val="00400A1F"/>
    <w:rsid w:val="00400FEC"/>
    <w:rsid w:val="00401105"/>
    <w:rsid w:val="0040178B"/>
    <w:rsid w:val="004017C3"/>
    <w:rsid w:val="00402476"/>
    <w:rsid w:val="00402A83"/>
    <w:rsid w:val="00402B2D"/>
    <w:rsid w:val="00402D87"/>
    <w:rsid w:val="00402E4D"/>
    <w:rsid w:val="004035DC"/>
    <w:rsid w:val="004037A2"/>
    <w:rsid w:val="004037B4"/>
    <w:rsid w:val="004037C0"/>
    <w:rsid w:val="00403919"/>
    <w:rsid w:val="0040393E"/>
    <w:rsid w:val="00403CB3"/>
    <w:rsid w:val="00404710"/>
    <w:rsid w:val="004048C8"/>
    <w:rsid w:val="0040537C"/>
    <w:rsid w:val="0040589E"/>
    <w:rsid w:val="004058B9"/>
    <w:rsid w:val="00405BC2"/>
    <w:rsid w:val="00406B62"/>
    <w:rsid w:val="00406B65"/>
    <w:rsid w:val="00406FE6"/>
    <w:rsid w:val="00406FF0"/>
    <w:rsid w:val="004075DC"/>
    <w:rsid w:val="004102D8"/>
    <w:rsid w:val="00411206"/>
    <w:rsid w:val="004114AD"/>
    <w:rsid w:val="00411674"/>
    <w:rsid w:val="0041191D"/>
    <w:rsid w:val="004119D9"/>
    <w:rsid w:val="00411F56"/>
    <w:rsid w:val="004120B3"/>
    <w:rsid w:val="00412259"/>
    <w:rsid w:val="00412CC8"/>
    <w:rsid w:val="00413167"/>
    <w:rsid w:val="004137F0"/>
    <w:rsid w:val="004138E9"/>
    <w:rsid w:val="00413DFC"/>
    <w:rsid w:val="00413E44"/>
    <w:rsid w:val="00413FDF"/>
    <w:rsid w:val="00413FE2"/>
    <w:rsid w:val="004143A1"/>
    <w:rsid w:val="00414728"/>
    <w:rsid w:val="00414A3F"/>
    <w:rsid w:val="0041547E"/>
    <w:rsid w:val="00415B2A"/>
    <w:rsid w:val="00415D23"/>
    <w:rsid w:val="004160F9"/>
    <w:rsid w:val="0041653F"/>
    <w:rsid w:val="00416540"/>
    <w:rsid w:val="00416790"/>
    <w:rsid w:val="00416C44"/>
    <w:rsid w:val="004170BD"/>
    <w:rsid w:val="00417F9B"/>
    <w:rsid w:val="004201E2"/>
    <w:rsid w:val="004214F1"/>
    <w:rsid w:val="004217AA"/>
    <w:rsid w:val="004218D7"/>
    <w:rsid w:val="00421A3D"/>
    <w:rsid w:val="00422193"/>
    <w:rsid w:val="004221F7"/>
    <w:rsid w:val="0042223E"/>
    <w:rsid w:val="0042237E"/>
    <w:rsid w:val="0042272D"/>
    <w:rsid w:val="004228C0"/>
    <w:rsid w:val="0042291C"/>
    <w:rsid w:val="00422924"/>
    <w:rsid w:val="00423370"/>
    <w:rsid w:val="004235F6"/>
    <w:rsid w:val="0042391E"/>
    <w:rsid w:val="00423CDE"/>
    <w:rsid w:val="004240F9"/>
    <w:rsid w:val="004242A1"/>
    <w:rsid w:val="004244A2"/>
    <w:rsid w:val="004247AC"/>
    <w:rsid w:val="00424DDB"/>
    <w:rsid w:val="00425010"/>
    <w:rsid w:val="004250D6"/>
    <w:rsid w:val="00425255"/>
    <w:rsid w:val="00425A39"/>
    <w:rsid w:val="00425BFD"/>
    <w:rsid w:val="0042600B"/>
    <w:rsid w:val="00426334"/>
    <w:rsid w:val="00426C49"/>
    <w:rsid w:val="00426F6A"/>
    <w:rsid w:val="00427192"/>
    <w:rsid w:val="00427321"/>
    <w:rsid w:val="00427326"/>
    <w:rsid w:val="00427409"/>
    <w:rsid w:val="004276BB"/>
    <w:rsid w:val="00427914"/>
    <w:rsid w:val="00427D94"/>
    <w:rsid w:val="004302E8"/>
    <w:rsid w:val="00430AC2"/>
    <w:rsid w:val="0043105D"/>
    <w:rsid w:val="0043201D"/>
    <w:rsid w:val="004320F8"/>
    <w:rsid w:val="00433342"/>
    <w:rsid w:val="00434AD1"/>
    <w:rsid w:val="00434FD8"/>
    <w:rsid w:val="0043545A"/>
    <w:rsid w:val="00435756"/>
    <w:rsid w:val="00435762"/>
    <w:rsid w:val="004362E6"/>
    <w:rsid w:val="00436AAD"/>
    <w:rsid w:val="00436FBF"/>
    <w:rsid w:val="0043700C"/>
    <w:rsid w:val="004374AE"/>
    <w:rsid w:val="00437CE2"/>
    <w:rsid w:val="0044027A"/>
    <w:rsid w:val="0044070A"/>
    <w:rsid w:val="00440FBC"/>
    <w:rsid w:val="00441417"/>
    <w:rsid w:val="004414DD"/>
    <w:rsid w:val="00441799"/>
    <w:rsid w:val="00441D38"/>
    <w:rsid w:val="00441E81"/>
    <w:rsid w:val="0044254F"/>
    <w:rsid w:val="00442BC9"/>
    <w:rsid w:val="00443766"/>
    <w:rsid w:val="00444254"/>
    <w:rsid w:val="004451C4"/>
    <w:rsid w:val="00445A3F"/>
    <w:rsid w:val="00445B0D"/>
    <w:rsid w:val="00445D50"/>
    <w:rsid w:val="004465A4"/>
    <w:rsid w:val="00446659"/>
    <w:rsid w:val="00446ABA"/>
    <w:rsid w:val="00446AF2"/>
    <w:rsid w:val="00446C31"/>
    <w:rsid w:val="00446E28"/>
    <w:rsid w:val="0044796F"/>
    <w:rsid w:val="00447A5E"/>
    <w:rsid w:val="00447C6C"/>
    <w:rsid w:val="00447C81"/>
    <w:rsid w:val="00447F93"/>
    <w:rsid w:val="0045011A"/>
    <w:rsid w:val="00450267"/>
    <w:rsid w:val="00450DBB"/>
    <w:rsid w:val="004510E5"/>
    <w:rsid w:val="00451616"/>
    <w:rsid w:val="0045230B"/>
    <w:rsid w:val="0045265B"/>
    <w:rsid w:val="004528CE"/>
    <w:rsid w:val="00452B3E"/>
    <w:rsid w:val="00452BA0"/>
    <w:rsid w:val="00452C74"/>
    <w:rsid w:val="00454299"/>
    <w:rsid w:val="004544D6"/>
    <w:rsid w:val="00454AA6"/>
    <w:rsid w:val="00455246"/>
    <w:rsid w:val="0045661F"/>
    <w:rsid w:val="0045696D"/>
    <w:rsid w:val="00456DDD"/>
    <w:rsid w:val="004573DA"/>
    <w:rsid w:val="004574B7"/>
    <w:rsid w:val="00457554"/>
    <w:rsid w:val="00457F77"/>
    <w:rsid w:val="0046016F"/>
    <w:rsid w:val="00460194"/>
    <w:rsid w:val="004602BA"/>
    <w:rsid w:val="00460728"/>
    <w:rsid w:val="0046090F"/>
    <w:rsid w:val="00460E4F"/>
    <w:rsid w:val="0046121E"/>
    <w:rsid w:val="004616D5"/>
    <w:rsid w:val="004623B2"/>
    <w:rsid w:val="00462475"/>
    <w:rsid w:val="0046250A"/>
    <w:rsid w:val="00462A5B"/>
    <w:rsid w:val="00462A74"/>
    <w:rsid w:val="0046307F"/>
    <w:rsid w:val="00464012"/>
    <w:rsid w:val="00464FC7"/>
    <w:rsid w:val="004650B8"/>
    <w:rsid w:val="00465273"/>
    <w:rsid w:val="004657A3"/>
    <w:rsid w:val="00465EC7"/>
    <w:rsid w:val="00466207"/>
    <w:rsid w:val="00466D24"/>
    <w:rsid w:val="00466E67"/>
    <w:rsid w:val="00466FAF"/>
    <w:rsid w:val="00467902"/>
    <w:rsid w:val="00467AAC"/>
    <w:rsid w:val="00467B10"/>
    <w:rsid w:val="00467B64"/>
    <w:rsid w:val="0047030F"/>
    <w:rsid w:val="004705D0"/>
    <w:rsid w:val="004706CA"/>
    <w:rsid w:val="00470D9A"/>
    <w:rsid w:val="004715A1"/>
    <w:rsid w:val="00471636"/>
    <w:rsid w:val="004716D8"/>
    <w:rsid w:val="00471AF7"/>
    <w:rsid w:val="00472A23"/>
    <w:rsid w:val="00472ED8"/>
    <w:rsid w:val="00473160"/>
    <w:rsid w:val="00473258"/>
    <w:rsid w:val="00473395"/>
    <w:rsid w:val="004733BA"/>
    <w:rsid w:val="00474341"/>
    <w:rsid w:val="004745D6"/>
    <w:rsid w:val="00475255"/>
    <w:rsid w:val="00475653"/>
    <w:rsid w:val="00475720"/>
    <w:rsid w:val="004759DA"/>
    <w:rsid w:val="00475AE7"/>
    <w:rsid w:val="00475D1C"/>
    <w:rsid w:val="00475D3E"/>
    <w:rsid w:val="00475EE9"/>
    <w:rsid w:val="004760B8"/>
    <w:rsid w:val="0047692B"/>
    <w:rsid w:val="00477903"/>
    <w:rsid w:val="00477E2A"/>
    <w:rsid w:val="004807F5"/>
    <w:rsid w:val="00480BBB"/>
    <w:rsid w:val="00480E24"/>
    <w:rsid w:val="004813B4"/>
    <w:rsid w:val="00481ADA"/>
    <w:rsid w:val="00481B7A"/>
    <w:rsid w:val="00481CB8"/>
    <w:rsid w:val="004823CA"/>
    <w:rsid w:val="00482866"/>
    <w:rsid w:val="00482C11"/>
    <w:rsid w:val="00482C25"/>
    <w:rsid w:val="00482F37"/>
    <w:rsid w:val="00483095"/>
    <w:rsid w:val="004836B3"/>
    <w:rsid w:val="0048383A"/>
    <w:rsid w:val="004839B9"/>
    <w:rsid w:val="00483ACA"/>
    <w:rsid w:val="00483C37"/>
    <w:rsid w:val="00483D9C"/>
    <w:rsid w:val="00483E06"/>
    <w:rsid w:val="00484068"/>
    <w:rsid w:val="00484352"/>
    <w:rsid w:val="004845C4"/>
    <w:rsid w:val="004845CF"/>
    <w:rsid w:val="004850C0"/>
    <w:rsid w:val="004855E0"/>
    <w:rsid w:val="004859A5"/>
    <w:rsid w:val="00485DC8"/>
    <w:rsid w:val="004862AA"/>
    <w:rsid w:val="00486A3A"/>
    <w:rsid w:val="00486BD9"/>
    <w:rsid w:val="00486F07"/>
    <w:rsid w:val="00487C2A"/>
    <w:rsid w:val="00487E9D"/>
    <w:rsid w:val="00490159"/>
    <w:rsid w:val="00490547"/>
    <w:rsid w:val="0049056A"/>
    <w:rsid w:val="00490650"/>
    <w:rsid w:val="0049066B"/>
    <w:rsid w:val="00490A4E"/>
    <w:rsid w:val="00490D8E"/>
    <w:rsid w:val="00491352"/>
    <w:rsid w:val="0049145A"/>
    <w:rsid w:val="004914FF"/>
    <w:rsid w:val="00491F0C"/>
    <w:rsid w:val="0049208F"/>
    <w:rsid w:val="0049235D"/>
    <w:rsid w:val="0049251D"/>
    <w:rsid w:val="004927CB"/>
    <w:rsid w:val="0049289A"/>
    <w:rsid w:val="00492FD4"/>
    <w:rsid w:val="0049361C"/>
    <w:rsid w:val="004936CD"/>
    <w:rsid w:val="00493C47"/>
    <w:rsid w:val="00494A00"/>
    <w:rsid w:val="00496229"/>
    <w:rsid w:val="0049637A"/>
    <w:rsid w:val="00496DE3"/>
    <w:rsid w:val="00496E96"/>
    <w:rsid w:val="00496F33"/>
    <w:rsid w:val="00497300"/>
    <w:rsid w:val="004A00C8"/>
    <w:rsid w:val="004A0978"/>
    <w:rsid w:val="004A13F0"/>
    <w:rsid w:val="004A1744"/>
    <w:rsid w:val="004A230E"/>
    <w:rsid w:val="004A267E"/>
    <w:rsid w:val="004A289E"/>
    <w:rsid w:val="004A299F"/>
    <w:rsid w:val="004A2C6D"/>
    <w:rsid w:val="004A404F"/>
    <w:rsid w:val="004A406C"/>
    <w:rsid w:val="004A4852"/>
    <w:rsid w:val="004A4DD6"/>
    <w:rsid w:val="004A4FC5"/>
    <w:rsid w:val="004A5B13"/>
    <w:rsid w:val="004A5F9D"/>
    <w:rsid w:val="004A6177"/>
    <w:rsid w:val="004A63AE"/>
    <w:rsid w:val="004A68C9"/>
    <w:rsid w:val="004A68E4"/>
    <w:rsid w:val="004A6997"/>
    <w:rsid w:val="004A72C8"/>
    <w:rsid w:val="004B082A"/>
    <w:rsid w:val="004B08A1"/>
    <w:rsid w:val="004B0FFD"/>
    <w:rsid w:val="004B1890"/>
    <w:rsid w:val="004B1BDF"/>
    <w:rsid w:val="004B1C5D"/>
    <w:rsid w:val="004B1D33"/>
    <w:rsid w:val="004B1DCC"/>
    <w:rsid w:val="004B27A4"/>
    <w:rsid w:val="004B2819"/>
    <w:rsid w:val="004B298A"/>
    <w:rsid w:val="004B2A66"/>
    <w:rsid w:val="004B3648"/>
    <w:rsid w:val="004B3976"/>
    <w:rsid w:val="004B4263"/>
    <w:rsid w:val="004B4324"/>
    <w:rsid w:val="004B4C84"/>
    <w:rsid w:val="004B4D43"/>
    <w:rsid w:val="004B5F38"/>
    <w:rsid w:val="004B7D87"/>
    <w:rsid w:val="004B7DC7"/>
    <w:rsid w:val="004C0CED"/>
    <w:rsid w:val="004C10A2"/>
    <w:rsid w:val="004C141C"/>
    <w:rsid w:val="004C16BE"/>
    <w:rsid w:val="004C1976"/>
    <w:rsid w:val="004C2294"/>
    <w:rsid w:val="004C28B9"/>
    <w:rsid w:val="004C2DC3"/>
    <w:rsid w:val="004C34B3"/>
    <w:rsid w:val="004C34EC"/>
    <w:rsid w:val="004C3A0C"/>
    <w:rsid w:val="004C3B6E"/>
    <w:rsid w:val="004C3E80"/>
    <w:rsid w:val="004C42E3"/>
    <w:rsid w:val="004C459A"/>
    <w:rsid w:val="004C4D58"/>
    <w:rsid w:val="004C50AA"/>
    <w:rsid w:val="004C5B51"/>
    <w:rsid w:val="004C68A5"/>
    <w:rsid w:val="004C776B"/>
    <w:rsid w:val="004C7780"/>
    <w:rsid w:val="004C7901"/>
    <w:rsid w:val="004C7B8A"/>
    <w:rsid w:val="004C7FBD"/>
    <w:rsid w:val="004D1140"/>
    <w:rsid w:val="004D11EF"/>
    <w:rsid w:val="004D1353"/>
    <w:rsid w:val="004D1874"/>
    <w:rsid w:val="004D1B04"/>
    <w:rsid w:val="004D1B1F"/>
    <w:rsid w:val="004D2827"/>
    <w:rsid w:val="004D31ED"/>
    <w:rsid w:val="004D3774"/>
    <w:rsid w:val="004D411D"/>
    <w:rsid w:val="004D4612"/>
    <w:rsid w:val="004D4A83"/>
    <w:rsid w:val="004D4DE1"/>
    <w:rsid w:val="004D4FBB"/>
    <w:rsid w:val="004D5363"/>
    <w:rsid w:val="004D5450"/>
    <w:rsid w:val="004D5629"/>
    <w:rsid w:val="004D577A"/>
    <w:rsid w:val="004D57C4"/>
    <w:rsid w:val="004D60F6"/>
    <w:rsid w:val="004D62B2"/>
    <w:rsid w:val="004D6794"/>
    <w:rsid w:val="004D7BC2"/>
    <w:rsid w:val="004E01A4"/>
    <w:rsid w:val="004E0844"/>
    <w:rsid w:val="004E09E1"/>
    <w:rsid w:val="004E0A3D"/>
    <w:rsid w:val="004E0F4F"/>
    <w:rsid w:val="004E0F76"/>
    <w:rsid w:val="004E1B69"/>
    <w:rsid w:val="004E1FFF"/>
    <w:rsid w:val="004E2007"/>
    <w:rsid w:val="004E22B3"/>
    <w:rsid w:val="004E31B6"/>
    <w:rsid w:val="004E3906"/>
    <w:rsid w:val="004E3B22"/>
    <w:rsid w:val="004E3B43"/>
    <w:rsid w:val="004E4110"/>
    <w:rsid w:val="004E4790"/>
    <w:rsid w:val="004E4AC6"/>
    <w:rsid w:val="004E4AE8"/>
    <w:rsid w:val="004E4E76"/>
    <w:rsid w:val="004E4F79"/>
    <w:rsid w:val="004E5527"/>
    <w:rsid w:val="004E58F7"/>
    <w:rsid w:val="004E5FFE"/>
    <w:rsid w:val="004E6156"/>
    <w:rsid w:val="004E61CE"/>
    <w:rsid w:val="004E6559"/>
    <w:rsid w:val="004E6701"/>
    <w:rsid w:val="004E6775"/>
    <w:rsid w:val="004E67C0"/>
    <w:rsid w:val="004E697B"/>
    <w:rsid w:val="004E6AE3"/>
    <w:rsid w:val="004E6F5D"/>
    <w:rsid w:val="004E7357"/>
    <w:rsid w:val="004E738F"/>
    <w:rsid w:val="004E758B"/>
    <w:rsid w:val="004E7600"/>
    <w:rsid w:val="004E7757"/>
    <w:rsid w:val="004E7B9C"/>
    <w:rsid w:val="004E7E06"/>
    <w:rsid w:val="004F0C15"/>
    <w:rsid w:val="004F0CDE"/>
    <w:rsid w:val="004F1110"/>
    <w:rsid w:val="004F11AF"/>
    <w:rsid w:val="004F14DF"/>
    <w:rsid w:val="004F16C9"/>
    <w:rsid w:val="004F174E"/>
    <w:rsid w:val="004F1A5E"/>
    <w:rsid w:val="004F1E90"/>
    <w:rsid w:val="004F2979"/>
    <w:rsid w:val="004F299D"/>
    <w:rsid w:val="004F2A26"/>
    <w:rsid w:val="004F3307"/>
    <w:rsid w:val="004F331D"/>
    <w:rsid w:val="004F382C"/>
    <w:rsid w:val="004F3CA7"/>
    <w:rsid w:val="004F3FE5"/>
    <w:rsid w:val="004F48B3"/>
    <w:rsid w:val="004F49DC"/>
    <w:rsid w:val="004F49F4"/>
    <w:rsid w:val="004F4AC4"/>
    <w:rsid w:val="004F5B44"/>
    <w:rsid w:val="004F5CAC"/>
    <w:rsid w:val="004F5F11"/>
    <w:rsid w:val="004F6786"/>
    <w:rsid w:val="004F6B9B"/>
    <w:rsid w:val="004F76BB"/>
    <w:rsid w:val="004F7863"/>
    <w:rsid w:val="004F7F75"/>
    <w:rsid w:val="00501B94"/>
    <w:rsid w:val="00502A8F"/>
    <w:rsid w:val="00502B63"/>
    <w:rsid w:val="00504B53"/>
    <w:rsid w:val="00505030"/>
    <w:rsid w:val="0050573E"/>
    <w:rsid w:val="00505B4F"/>
    <w:rsid w:val="00505BBE"/>
    <w:rsid w:val="00505FF0"/>
    <w:rsid w:val="00506BBE"/>
    <w:rsid w:val="00506E68"/>
    <w:rsid w:val="0050713E"/>
    <w:rsid w:val="005076F6"/>
    <w:rsid w:val="00507D3F"/>
    <w:rsid w:val="00510E40"/>
    <w:rsid w:val="005129CB"/>
    <w:rsid w:val="005129D4"/>
    <w:rsid w:val="00512B26"/>
    <w:rsid w:val="00512D16"/>
    <w:rsid w:val="00512F3E"/>
    <w:rsid w:val="0051337B"/>
    <w:rsid w:val="0051337F"/>
    <w:rsid w:val="005133FA"/>
    <w:rsid w:val="00513B76"/>
    <w:rsid w:val="00513C8B"/>
    <w:rsid w:val="0051466E"/>
    <w:rsid w:val="00515704"/>
    <w:rsid w:val="0051609A"/>
    <w:rsid w:val="005160FD"/>
    <w:rsid w:val="00517498"/>
    <w:rsid w:val="00517800"/>
    <w:rsid w:val="00517B76"/>
    <w:rsid w:val="00517CB5"/>
    <w:rsid w:val="00517E54"/>
    <w:rsid w:val="00520394"/>
    <w:rsid w:val="005205CA"/>
    <w:rsid w:val="005207A9"/>
    <w:rsid w:val="00520939"/>
    <w:rsid w:val="00520DF7"/>
    <w:rsid w:val="00521580"/>
    <w:rsid w:val="005224C2"/>
    <w:rsid w:val="005225AE"/>
    <w:rsid w:val="00522B03"/>
    <w:rsid w:val="005230F7"/>
    <w:rsid w:val="005238EA"/>
    <w:rsid w:val="00523F7D"/>
    <w:rsid w:val="00523FFF"/>
    <w:rsid w:val="0052400E"/>
    <w:rsid w:val="00524613"/>
    <w:rsid w:val="00524B3D"/>
    <w:rsid w:val="005252CD"/>
    <w:rsid w:val="00525533"/>
    <w:rsid w:val="00525C66"/>
    <w:rsid w:val="00525CBA"/>
    <w:rsid w:val="00525EAE"/>
    <w:rsid w:val="005262AE"/>
    <w:rsid w:val="005262C4"/>
    <w:rsid w:val="00526D51"/>
    <w:rsid w:val="00526E37"/>
    <w:rsid w:val="00527678"/>
    <w:rsid w:val="005300C3"/>
    <w:rsid w:val="00530BFB"/>
    <w:rsid w:val="00530F5F"/>
    <w:rsid w:val="00531148"/>
    <w:rsid w:val="00531867"/>
    <w:rsid w:val="005324C6"/>
    <w:rsid w:val="00532C6F"/>
    <w:rsid w:val="00533018"/>
    <w:rsid w:val="00533092"/>
    <w:rsid w:val="00533741"/>
    <w:rsid w:val="005341B5"/>
    <w:rsid w:val="0053472C"/>
    <w:rsid w:val="00534985"/>
    <w:rsid w:val="00535089"/>
    <w:rsid w:val="00535469"/>
    <w:rsid w:val="00535FB6"/>
    <w:rsid w:val="005375DA"/>
    <w:rsid w:val="005376F7"/>
    <w:rsid w:val="0053777C"/>
    <w:rsid w:val="00537848"/>
    <w:rsid w:val="005400E1"/>
    <w:rsid w:val="00540357"/>
    <w:rsid w:val="00540A11"/>
    <w:rsid w:val="005410F1"/>
    <w:rsid w:val="00541468"/>
    <w:rsid w:val="00541472"/>
    <w:rsid w:val="00541537"/>
    <w:rsid w:val="00542095"/>
    <w:rsid w:val="0054222B"/>
    <w:rsid w:val="00542243"/>
    <w:rsid w:val="005424FA"/>
    <w:rsid w:val="00543927"/>
    <w:rsid w:val="00543AF2"/>
    <w:rsid w:val="00544075"/>
    <w:rsid w:val="00544163"/>
    <w:rsid w:val="005442F3"/>
    <w:rsid w:val="00544BDE"/>
    <w:rsid w:val="005453F5"/>
    <w:rsid w:val="00545C47"/>
    <w:rsid w:val="0054641C"/>
    <w:rsid w:val="00546B67"/>
    <w:rsid w:val="0054750A"/>
    <w:rsid w:val="00547545"/>
    <w:rsid w:val="00547D20"/>
    <w:rsid w:val="0055018C"/>
    <w:rsid w:val="005502C3"/>
    <w:rsid w:val="0055036F"/>
    <w:rsid w:val="0055048C"/>
    <w:rsid w:val="00551AC6"/>
    <w:rsid w:val="00551B36"/>
    <w:rsid w:val="00552C75"/>
    <w:rsid w:val="005534EB"/>
    <w:rsid w:val="005538AD"/>
    <w:rsid w:val="005538D9"/>
    <w:rsid w:val="00553C51"/>
    <w:rsid w:val="00553DC1"/>
    <w:rsid w:val="0055430F"/>
    <w:rsid w:val="00554D0C"/>
    <w:rsid w:val="00554F2C"/>
    <w:rsid w:val="0055592C"/>
    <w:rsid w:val="00555E09"/>
    <w:rsid w:val="00555F18"/>
    <w:rsid w:val="00556631"/>
    <w:rsid w:val="00556EA1"/>
    <w:rsid w:val="00557053"/>
    <w:rsid w:val="005572E3"/>
    <w:rsid w:val="005577AE"/>
    <w:rsid w:val="00557873"/>
    <w:rsid w:val="00557880"/>
    <w:rsid w:val="005606E6"/>
    <w:rsid w:val="00560864"/>
    <w:rsid w:val="005608B8"/>
    <w:rsid w:val="005609AA"/>
    <w:rsid w:val="00560D07"/>
    <w:rsid w:val="00560FD7"/>
    <w:rsid w:val="00561570"/>
    <w:rsid w:val="005615B3"/>
    <w:rsid w:val="00561CB1"/>
    <w:rsid w:val="0056209D"/>
    <w:rsid w:val="005622D0"/>
    <w:rsid w:val="0056253C"/>
    <w:rsid w:val="005625CA"/>
    <w:rsid w:val="0056282E"/>
    <w:rsid w:val="00562F6C"/>
    <w:rsid w:val="00562FEB"/>
    <w:rsid w:val="005630F2"/>
    <w:rsid w:val="0056393C"/>
    <w:rsid w:val="00563D67"/>
    <w:rsid w:val="0056427A"/>
    <w:rsid w:val="00564537"/>
    <w:rsid w:val="00565036"/>
    <w:rsid w:val="0056568C"/>
    <w:rsid w:val="00565785"/>
    <w:rsid w:val="00565841"/>
    <w:rsid w:val="0056584B"/>
    <w:rsid w:val="00565EB2"/>
    <w:rsid w:val="0056658D"/>
    <w:rsid w:val="00566AAD"/>
    <w:rsid w:val="00566B01"/>
    <w:rsid w:val="00566CB3"/>
    <w:rsid w:val="005675B1"/>
    <w:rsid w:val="005679FA"/>
    <w:rsid w:val="00567B09"/>
    <w:rsid w:val="00567E32"/>
    <w:rsid w:val="00567E38"/>
    <w:rsid w:val="005702C6"/>
    <w:rsid w:val="0057039F"/>
    <w:rsid w:val="005710D3"/>
    <w:rsid w:val="005715DB"/>
    <w:rsid w:val="00571EC5"/>
    <w:rsid w:val="00572812"/>
    <w:rsid w:val="0057298B"/>
    <w:rsid w:val="00572FD1"/>
    <w:rsid w:val="00573001"/>
    <w:rsid w:val="005739D5"/>
    <w:rsid w:val="005739F2"/>
    <w:rsid w:val="005742AB"/>
    <w:rsid w:val="005745A7"/>
    <w:rsid w:val="005749CC"/>
    <w:rsid w:val="00574E28"/>
    <w:rsid w:val="005752BD"/>
    <w:rsid w:val="00575475"/>
    <w:rsid w:val="00575BE4"/>
    <w:rsid w:val="0057640E"/>
    <w:rsid w:val="00576929"/>
    <w:rsid w:val="0057716E"/>
    <w:rsid w:val="00577756"/>
    <w:rsid w:val="00577805"/>
    <w:rsid w:val="00577929"/>
    <w:rsid w:val="00577CA8"/>
    <w:rsid w:val="00580130"/>
    <w:rsid w:val="00580A47"/>
    <w:rsid w:val="00581783"/>
    <w:rsid w:val="00582330"/>
    <w:rsid w:val="00582F02"/>
    <w:rsid w:val="0058316E"/>
    <w:rsid w:val="005834F1"/>
    <w:rsid w:val="00583FD1"/>
    <w:rsid w:val="00584064"/>
    <w:rsid w:val="0058408E"/>
    <w:rsid w:val="0058439C"/>
    <w:rsid w:val="0058466F"/>
    <w:rsid w:val="00584EBC"/>
    <w:rsid w:val="00585AC3"/>
    <w:rsid w:val="00585C7F"/>
    <w:rsid w:val="00585CF0"/>
    <w:rsid w:val="00585DE0"/>
    <w:rsid w:val="005868FC"/>
    <w:rsid w:val="0058778B"/>
    <w:rsid w:val="00590009"/>
    <w:rsid w:val="005904F8"/>
    <w:rsid w:val="005909ED"/>
    <w:rsid w:val="00590A70"/>
    <w:rsid w:val="00590FEC"/>
    <w:rsid w:val="005914B7"/>
    <w:rsid w:val="005915D5"/>
    <w:rsid w:val="00591962"/>
    <w:rsid w:val="00591F39"/>
    <w:rsid w:val="00591F7E"/>
    <w:rsid w:val="00592111"/>
    <w:rsid w:val="00592128"/>
    <w:rsid w:val="00592493"/>
    <w:rsid w:val="0059275E"/>
    <w:rsid w:val="005929D7"/>
    <w:rsid w:val="005933BA"/>
    <w:rsid w:val="00593811"/>
    <w:rsid w:val="005941A5"/>
    <w:rsid w:val="00594B88"/>
    <w:rsid w:val="00595D52"/>
    <w:rsid w:val="005963A3"/>
    <w:rsid w:val="005965CC"/>
    <w:rsid w:val="005A0A72"/>
    <w:rsid w:val="005A0BC8"/>
    <w:rsid w:val="005A0DA7"/>
    <w:rsid w:val="005A12E4"/>
    <w:rsid w:val="005A12E7"/>
    <w:rsid w:val="005A1531"/>
    <w:rsid w:val="005A18A3"/>
    <w:rsid w:val="005A1C35"/>
    <w:rsid w:val="005A203A"/>
    <w:rsid w:val="005A2860"/>
    <w:rsid w:val="005A2CB3"/>
    <w:rsid w:val="005A2D0E"/>
    <w:rsid w:val="005A2DE6"/>
    <w:rsid w:val="005A3482"/>
    <w:rsid w:val="005A3745"/>
    <w:rsid w:val="005A389A"/>
    <w:rsid w:val="005A3B24"/>
    <w:rsid w:val="005A432C"/>
    <w:rsid w:val="005A4690"/>
    <w:rsid w:val="005A4E04"/>
    <w:rsid w:val="005A5697"/>
    <w:rsid w:val="005A5954"/>
    <w:rsid w:val="005A5A4B"/>
    <w:rsid w:val="005A5C47"/>
    <w:rsid w:val="005A5C84"/>
    <w:rsid w:val="005A5C96"/>
    <w:rsid w:val="005A5CCA"/>
    <w:rsid w:val="005A6151"/>
    <w:rsid w:val="005A6602"/>
    <w:rsid w:val="005A73F9"/>
    <w:rsid w:val="005A7479"/>
    <w:rsid w:val="005A76AF"/>
    <w:rsid w:val="005A77FD"/>
    <w:rsid w:val="005A7AEC"/>
    <w:rsid w:val="005A7BC9"/>
    <w:rsid w:val="005B1057"/>
    <w:rsid w:val="005B121E"/>
    <w:rsid w:val="005B1C7B"/>
    <w:rsid w:val="005B1E17"/>
    <w:rsid w:val="005B1FF8"/>
    <w:rsid w:val="005B2607"/>
    <w:rsid w:val="005B2631"/>
    <w:rsid w:val="005B29E8"/>
    <w:rsid w:val="005B2F68"/>
    <w:rsid w:val="005B2FD6"/>
    <w:rsid w:val="005B3098"/>
    <w:rsid w:val="005B3440"/>
    <w:rsid w:val="005B3FB7"/>
    <w:rsid w:val="005B4013"/>
    <w:rsid w:val="005B42CF"/>
    <w:rsid w:val="005B4501"/>
    <w:rsid w:val="005B4FE6"/>
    <w:rsid w:val="005B6506"/>
    <w:rsid w:val="005B6DF2"/>
    <w:rsid w:val="005B6F45"/>
    <w:rsid w:val="005B6F70"/>
    <w:rsid w:val="005B6FEE"/>
    <w:rsid w:val="005B7BAB"/>
    <w:rsid w:val="005B7F67"/>
    <w:rsid w:val="005C0A54"/>
    <w:rsid w:val="005C0E70"/>
    <w:rsid w:val="005C0F4E"/>
    <w:rsid w:val="005C0FD3"/>
    <w:rsid w:val="005C1CB9"/>
    <w:rsid w:val="005C249A"/>
    <w:rsid w:val="005C2A9B"/>
    <w:rsid w:val="005C2C3E"/>
    <w:rsid w:val="005C2CE9"/>
    <w:rsid w:val="005C3137"/>
    <w:rsid w:val="005C330E"/>
    <w:rsid w:val="005C33B0"/>
    <w:rsid w:val="005C3493"/>
    <w:rsid w:val="005C3F53"/>
    <w:rsid w:val="005C412D"/>
    <w:rsid w:val="005C4591"/>
    <w:rsid w:val="005C492A"/>
    <w:rsid w:val="005C4ABC"/>
    <w:rsid w:val="005C4BC4"/>
    <w:rsid w:val="005C50CF"/>
    <w:rsid w:val="005C51F0"/>
    <w:rsid w:val="005C5213"/>
    <w:rsid w:val="005C52FB"/>
    <w:rsid w:val="005C5641"/>
    <w:rsid w:val="005C62D7"/>
    <w:rsid w:val="005C63E3"/>
    <w:rsid w:val="005C69B0"/>
    <w:rsid w:val="005C69D3"/>
    <w:rsid w:val="005C7200"/>
    <w:rsid w:val="005C7667"/>
    <w:rsid w:val="005C787B"/>
    <w:rsid w:val="005C795B"/>
    <w:rsid w:val="005D0709"/>
    <w:rsid w:val="005D0797"/>
    <w:rsid w:val="005D0C9F"/>
    <w:rsid w:val="005D0CA7"/>
    <w:rsid w:val="005D13BF"/>
    <w:rsid w:val="005D1A49"/>
    <w:rsid w:val="005D1B68"/>
    <w:rsid w:val="005D2521"/>
    <w:rsid w:val="005D25FF"/>
    <w:rsid w:val="005D2623"/>
    <w:rsid w:val="005D2780"/>
    <w:rsid w:val="005D2B52"/>
    <w:rsid w:val="005D3487"/>
    <w:rsid w:val="005D34C8"/>
    <w:rsid w:val="005D379E"/>
    <w:rsid w:val="005D493B"/>
    <w:rsid w:val="005D549F"/>
    <w:rsid w:val="005D5B5D"/>
    <w:rsid w:val="005D5C84"/>
    <w:rsid w:val="005D5D80"/>
    <w:rsid w:val="005D5F0D"/>
    <w:rsid w:val="005D61E3"/>
    <w:rsid w:val="005D64D5"/>
    <w:rsid w:val="005D65C5"/>
    <w:rsid w:val="005D666C"/>
    <w:rsid w:val="005D6711"/>
    <w:rsid w:val="005D6A6B"/>
    <w:rsid w:val="005D6BC6"/>
    <w:rsid w:val="005D77D9"/>
    <w:rsid w:val="005E0472"/>
    <w:rsid w:val="005E04A6"/>
    <w:rsid w:val="005E0754"/>
    <w:rsid w:val="005E09B5"/>
    <w:rsid w:val="005E0DD4"/>
    <w:rsid w:val="005E13E6"/>
    <w:rsid w:val="005E150E"/>
    <w:rsid w:val="005E1FBC"/>
    <w:rsid w:val="005E2147"/>
    <w:rsid w:val="005E238D"/>
    <w:rsid w:val="005E2973"/>
    <w:rsid w:val="005E2B8B"/>
    <w:rsid w:val="005E2C88"/>
    <w:rsid w:val="005E3624"/>
    <w:rsid w:val="005E4272"/>
    <w:rsid w:val="005E56FB"/>
    <w:rsid w:val="005E5DAD"/>
    <w:rsid w:val="005E676A"/>
    <w:rsid w:val="005E6B4A"/>
    <w:rsid w:val="005E786E"/>
    <w:rsid w:val="005F02C7"/>
    <w:rsid w:val="005F0482"/>
    <w:rsid w:val="005F0820"/>
    <w:rsid w:val="005F11BC"/>
    <w:rsid w:val="005F17EB"/>
    <w:rsid w:val="005F1957"/>
    <w:rsid w:val="005F1D3B"/>
    <w:rsid w:val="005F23FC"/>
    <w:rsid w:val="005F2AA7"/>
    <w:rsid w:val="005F37D9"/>
    <w:rsid w:val="005F3D0E"/>
    <w:rsid w:val="005F4129"/>
    <w:rsid w:val="005F4553"/>
    <w:rsid w:val="005F456D"/>
    <w:rsid w:val="005F4672"/>
    <w:rsid w:val="005F4AD6"/>
    <w:rsid w:val="005F527D"/>
    <w:rsid w:val="005F572E"/>
    <w:rsid w:val="005F5A1D"/>
    <w:rsid w:val="005F5A5A"/>
    <w:rsid w:val="005F5A9C"/>
    <w:rsid w:val="005F5CB6"/>
    <w:rsid w:val="005F5D7D"/>
    <w:rsid w:val="005F5DDF"/>
    <w:rsid w:val="005F606E"/>
    <w:rsid w:val="005F6074"/>
    <w:rsid w:val="005F6909"/>
    <w:rsid w:val="005F6E30"/>
    <w:rsid w:val="005F6E3F"/>
    <w:rsid w:val="005F6FC7"/>
    <w:rsid w:val="005F7070"/>
    <w:rsid w:val="005F7572"/>
    <w:rsid w:val="005F7697"/>
    <w:rsid w:val="005F76A8"/>
    <w:rsid w:val="005F77EC"/>
    <w:rsid w:val="005F7C20"/>
    <w:rsid w:val="00600074"/>
    <w:rsid w:val="006009BE"/>
    <w:rsid w:val="006009C7"/>
    <w:rsid w:val="00600C42"/>
    <w:rsid w:val="00600C95"/>
    <w:rsid w:val="00602509"/>
    <w:rsid w:val="00602B57"/>
    <w:rsid w:val="00602C18"/>
    <w:rsid w:val="006034F7"/>
    <w:rsid w:val="00603527"/>
    <w:rsid w:val="0060378C"/>
    <w:rsid w:val="00603814"/>
    <w:rsid w:val="00603935"/>
    <w:rsid w:val="00605EF8"/>
    <w:rsid w:val="00606112"/>
    <w:rsid w:val="00606194"/>
    <w:rsid w:val="0060632D"/>
    <w:rsid w:val="00606670"/>
    <w:rsid w:val="006068F5"/>
    <w:rsid w:val="00607143"/>
    <w:rsid w:val="0060776D"/>
    <w:rsid w:val="00610742"/>
    <w:rsid w:val="00610C48"/>
    <w:rsid w:val="00611558"/>
    <w:rsid w:val="006118B6"/>
    <w:rsid w:val="00611EF9"/>
    <w:rsid w:val="006127A3"/>
    <w:rsid w:val="00612910"/>
    <w:rsid w:val="00612D30"/>
    <w:rsid w:val="00612E95"/>
    <w:rsid w:val="00613626"/>
    <w:rsid w:val="00613A3E"/>
    <w:rsid w:val="00613EC6"/>
    <w:rsid w:val="006141E8"/>
    <w:rsid w:val="0061497E"/>
    <w:rsid w:val="0061501C"/>
    <w:rsid w:val="0061542D"/>
    <w:rsid w:val="00615528"/>
    <w:rsid w:val="006157EC"/>
    <w:rsid w:val="00615D69"/>
    <w:rsid w:val="00615FD0"/>
    <w:rsid w:val="006162CD"/>
    <w:rsid w:val="006165ED"/>
    <w:rsid w:val="00616FFA"/>
    <w:rsid w:val="00617092"/>
    <w:rsid w:val="006173A7"/>
    <w:rsid w:val="006173C7"/>
    <w:rsid w:val="006177BF"/>
    <w:rsid w:val="00617CBA"/>
    <w:rsid w:val="00617D3E"/>
    <w:rsid w:val="006204D0"/>
    <w:rsid w:val="00620D54"/>
    <w:rsid w:val="00620DB5"/>
    <w:rsid w:val="006211BB"/>
    <w:rsid w:val="006212C9"/>
    <w:rsid w:val="0062226B"/>
    <w:rsid w:val="00622A9A"/>
    <w:rsid w:val="00622F3C"/>
    <w:rsid w:val="00622FF9"/>
    <w:rsid w:val="00623AD8"/>
    <w:rsid w:val="00623DD7"/>
    <w:rsid w:val="00623EA1"/>
    <w:rsid w:val="0062415E"/>
    <w:rsid w:val="00624523"/>
    <w:rsid w:val="006257ED"/>
    <w:rsid w:val="00625C4B"/>
    <w:rsid w:val="00625C55"/>
    <w:rsid w:val="00625D5F"/>
    <w:rsid w:val="00626675"/>
    <w:rsid w:val="00626A71"/>
    <w:rsid w:val="00626BCF"/>
    <w:rsid w:val="00626C82"/>
    <w:rsid w:val="00626CDB"/>
    <w:rsid w:val="00627504"/>
    <w:rsid w:val="00627529"/>
    <w:rsid w:val="00627A03"/>
    <w:rsid w:val="00627EE6"/>
    <w:rsid w:val="00630969"/>
    <w:rsid w:val="0063096C"/>
    <w:rsid w:val="00630F78"/>
    <w:rsid w:val="00631850"/>
    <w:rsid w:val="00631960"/>
    <w:rsid w:val="0063216D"/>
    <w:rsid w:val="00632509"/>
    <w:rsid w:val="0063251A"/>
    <w:rsid w:val="00632974"/>
    <w:rsid w:val="00633059"/>
    <w:rsid w:val="00633759"/>
    <w:rsid w:val="00633996"/>
    <w:rsid w:val="00634395"/>
    <w:rsid w:val="00635624"/>
    <w:rsid w:val="00636622"/>
    <w:rsid w:val="006374B7"/>
    <w:rsid w:val="006376E6"/>
    <w:rsid w:val="006378D2"/>
    <w:rsid w:val="0064057C"/>
    <w:rsid w:val="00640593"/>
    <w:rsid w:val="00640DF3"/>
    <w:rsid w:val="006419B7"/>
    <w:rsid w:val="00641B6A"/>
    <w:rsid w:val="00641DE0"/>
    <w:rsid w:val="00642221"/>
    <w:rsid w:val="00642A78"/>
    <w:rsid w:val="006430EE"/>
    <w:rsid w:val="006431BD"/>
    <w:rsid w:val="0064360A"/>
    <w:rsid w:val="00643CA9"/>
    <w:rsid w:val="00643F41"/>
    <w:rsid w:val="00644126"/>
    <w:rsid w:val="00644865"/>
    <w:rsid w:val="00644FEA"/>
    <w:rsid w:val="006456B8"/>
    <w:rsid w:val="00645FA8"/>
    <w:rsid w:val="00646115"/>
    <w:rsid w:val="00646768"/>
    <w:rsid w:val="006477D7"/>
    <w:rsid w:val="00647C42"/>
    <w:rsid w:val="0065042B"/>
    <w:rsid w:val="00650760"/>
    <w:rsid w:val="0065104A"/>
    <w:rsid w:val="006514C7"/>
    <w:rsid w:val="00651DCF"/>
    <w:rsid w:val="00652C1B"/>
    <w:rsid w:val="006531FC"/>
    <w:rsid w:val="00653486"/>
    <w:rsid w:val="006536A3"/>
    <w:rsid w:val="00653713"/>
    <w:rsid w:val="00653835"/>
    <w:rsid w:val="00654038"/>
    <w:rsid w:val="0065484D"/>
    <w:rsid w:val="00654E8E"/>
    <w:rsid w:val="00654FB4"/>
    <w:rsid w:val="00655186"/>
    <w:rsid w:val="0065558D"/>
    <w:rsid w:val="0065565B"/>
    <w:rsid w:val="00656973"/>
    <w:rsid w:val="00656C0A"/>
    <w:rsid w:val="006570A5"/>
    <w:rsid w:val="00657A9C"/>
    <w:rsid w:val="00657CAD"/>
    <w:rsid w:val="00660962"/>
    <w:rsid w:val="006609F4"/>
    <w:rsid w:val="00661100"/>
    <w:rsid w:val="00661310"/>
    <w:rsid w:val="006613FA"/>
    <w:rsid w:val="00661E3D"/>
    <w:rsid w:val="0066201D"/>
    <w:rsid w:val="00662618"/>
    <w:rsid w:val="00662B47"/>
    <w:rsid w:val="00662EDF"/>
    <w:rsid w:val="00663424"/>
    <w:rsid w:val="00663597"/>
    <w:rsid w:val="00663613"/>
    <w:rsid w:val="00663C0C"/>
    <w:rsid w:val="00664544"/>
    <w:rsid w:val="00664769"/>
    <w:rsid w:val="006647BE"/>
    <w:rsid w:val="00664A05"/>
    <w:rsid w:val="00664BF4"/>
    <w:rsid w:val="00664DCC"/>
    <w:rsid w:val="00664F1D"/>
    <w:rsid w:val="00664F46"/>
    <w:rsid w:val="00665076"/>
    <w:rsid w:val="006652C2"/>
    <w:rsid w:val="0066577D"/>
    <w:rsid w:val="00665FA7"/>
    <w:rsid w:val="00666DAB"/>
    <w:rsid w:val="00666F16"/>
    <w:rsid w:val="006671C0"/>
    <w:rsid w:val="00667384"/>
    <w:rsid w:val="00667CC0"/>
    <w:rsid w:val="006701A0"/>
    <w:rsid w:val="006701C7"/>
    <w:rsid w:val="006704BC"/>
    <w:rsid w:val="006707B7"/>
    <w:rsid w:val="00670D42"/>
    <w:rsid w:val="006710A7"/>
    <w:rsid w:val="00671262"/>
    <w:rsid w:val="00671295"/>
    <w:rsid w:val="006713E3"/>
    <w:rsid w:val="00671481"/>
    <w:rsid w:val="00671574"/>
    <w:rsid w:val="00671746"/>
    <w:rsid w:val="006720A7"/>
    <w:rsid w:val="0067255E"/>
    <w:rsid w:val="00672C90"/>
    <w:rsid w:val="006731D5"/>
    <w:rsid w:val="00673FD2"/>
    <w:rsid w:val="00674044"/>
    <w:rsid w:val="0067487F"/>
    <w:rsid w:val="00674A06"/>
    <w:rsid w:val="00674DA0"/>
    <w:rsid w:val="00675110"/>
    <w:rsid w:val="0067536A"/>
    <w:rsid w:val="00675750"/>
    <w:rsid w:val="0067581B"/>
    <w:rsid w:val="0067581F"/>
    <w:rsid w:val="00675D71"/>
    <w:rsid w:val="00675DEF"/>
    <w:rsid w:val="0067669A"/>
    <w:rsid w:val="00676781"/>
    <w:rsid w:val="006779BF"/>
    <w:rsid w:val="00677CF6"/>
    <w:rsid w:val="006804B8"/>
    <w:rsid w:val="00680B18"/>
    <w:rsid w:val="00680B2C"/>
    <w:rsid w:val="00680F53"/>
    <w:rsid w:val="00681360"/>
    <w:rsid w:val="00681710"/>
    <w:rsid w:val="00681A2D"/>
    <w:rsid w:val="00681AA1"/>
    <w:rsid w:val="00681DE1"/>
    <w:rsid w:val="0068203F"/>
    <w:rsid w:val="00682395"/>
    <w:rsid w:val="00682988"/>
    <w:rsid w:val="006829E9"/>
    <w:rsid w:val="00683604"/>
    <w:rsid w:val="00683DEA"/>
    <w:rsid w:val="00683EBF"/>
    <w:rsid w:val="00683FB3"/>
    <w:rsid w:val="00684663"/>
    <w:rsid w:val="0068484C"/>
    <w:rsid w:val="00684DAE"/>
    <w:rsid w:val="0068566D"/>
    <w:rsid w:val="00685E9D"/>
    <w:rsid w:val="00685EA2"/>
    <w:rsid w:val="00686401"/>
    <w:rsid w:val="0068648C"/>
    <w:rsid w:val="006872A6"/>
    <w:rsid w:val="006877B5"/>
    <w:rsid w:val="00687955"/>
    <w:rsid w:val="00687A4B"/>
    <w:rsid w:val="00687B13"/>
    <w:rsid w:val="00687C93"/>
    <w:rsid w:val="00687E77"/>
    <w:rsid w:val="00687FB9"/>
    <w:rsid w:val="006900A1"/>
    <w:rsid w:val="006914CC"/>
    <w:rsid w:val="00691F83"/>
    <w:rsid w:val="006924D4"/>
    <w:rsid w:val="00692DC1"/>
    <w:rsid w:val="00692DD7"/>
    <w:rsid w:val="00692E22"/>
    <w:rsid w:val="00693E92"/>
    <w:rsid w:val="00694043"/>
    <w:rsid w:val="00695145"/>
    <w:rsid w:val="00696ADB"/>
    <w:rsid w:val="006971BA"/>
    <w:rsid w:val="006979F7"/>
    <w:rsid w:val="006A02C3"/>
    <w:rsid w:val="006A0D71"/>
    <w:rsid w:val="006A1681"/>
    <w:rsid w:val="006A2BB9"/>
    <w:rsid w:val="006A2EF3"/>
    <w:rsid w:val="006A3793"/>
    <w:rsid w:val="006A3810"/>
    <w:rsid w:val="006A386F"/>
    <w:rsid w:val="006A3B24"/>
    <w:rsid w:val="006A3DD3"/>
    <w:rsid w:val="006A4168"/>
    <w:rsid w:val="006A42AF"/>
    <w:rsid w:val="006A43B3"/>
    <w:rsid w:val="006A4955"/>
    <w:rsid w:val="006A4DB7"/>
    <w:rsid w:val="006A4DCE"/>
    <w:rsid w:val="006A59EA"/>
    <w:rsid w:val="006A5E07"/>
    <w:rsid w:val="006A6148"/>
    <w:rsid w:val="006A66FD"/>
    <w:rsid w:val="006A6759"/>
    <w:rsid w:val="006A68D3"/>
    <w:rsid w:val="006A6A76"/>
    <w:rsid w:val="006A6C0D"/>
    <w:rsid w:val="006A71ED"/>
    <w:rsid w:val="006A7731"/>
    <w:rsid w:val="006A7B64"/>
    <w:rsid w:val="006B0092"/>
    <w:rsid w:val="006B07D5"/>
    <w:rsid w:val="006B0B80"/>
    <w:rsid w:val="006B13C8"/>
    <w:rsid w:val="006B1609"/>
    <w:rsid w:val="006B1AEE"/>
    <w:rsid w:val="006B1C75"/>
    <w:rsid w:val="006B1CA6"/>
    <w:rsid w:val="006B23AC"/>
    <w:rsid w:val="006B2DDB"/>
    <w:rsid w:val="006B3777"/>
    <w:rsid w:val="006B3DC7"/>
    <w:rsid w:val="006B3E45"/>
    <w:rsid w:val="006B4874"/>
    <w:rsid w:val="006B498A"/>
    <w:rsid w:val="006B4995"/>
    <w:rsid w:val="006B4BAF"/>
    <w:rsid w:val="006B52BD"/>
    <w:rsid w:val="006B550C"/>
    <w:rsid w:val="006B55DD"/>
    <w:rsid w:val="006B5860"/>
    <w:rsid w:val="006B5946"/>
    <w:rsid w:val="006B5965"/>
    <w:rsid w:val="006B5F41"/>
    <w:rsid w:val="006B5F94"/>
    <w:rsid w:val="006B63F5"/>
    <w:rsid w:val="006B6666"/>
    <w:rsid w:val="006B7289"/>
    <w:rsid w:val="006C0ACD"/>
    <w:rsid w:val="006C0C50"/>
    <w:rsid w:val="006C0D69"/>
    <w:rsid w:val="006C1253"/>
    <w:rsid w:val="006C244E"/>
    <w:rsid w:val="006C2993"/>
    <w:rsid w:val="006C3119"/>
    <w:rsid w:val="006C3320"/>
    <w:rsid w:val="006C3578"/>
    <w:rsid w:val="006C413A"/>
    <w:rsid w:val="006C43B7"/>
    <w:rsid w:val="006C4605"/>
    <w:rsid w:val="006C4770"/>
    <w:rsid w:val="006C4994"/>
    <w:rsid w:val="006C4A28"/>
    <w:rsid w:val="006C4BD2"/>
    <w:rsid w:val="006C4CE0"/>
    <w:rsid w:val="006C4DFB"/>
    <w:rsid w:val="006C51BF"/>
    <w:rsid w:val="006C5497"/>
    <w:rsid w:val="006C6098"/>
    <w:rsid w:val="006C6242"/>
    <w:rsid w:val="006C6983"/>
    <w:rsid w:val="006C6B57"/>
    <w:rsid w:val="006C6D66"/>
    <w:rsid w:val="006D0140"/>
    <w:rsid w:val="006D0455"/>
    <w:rsid w:val="006D07D5"/>
    <w:rsid w:val="006D1157"/>
    <w:rsid w:val="006D140E"/>
    <w:rsid w:val="006D203B"/>
    <w:rsid w:val="006D214C"/>
    <w:rsid w:val="006D2F6E"/>
    <w:rsid w:val="006D3291"/>
    <w:rsid w:val="006D349A"/>
    <w:rsid w:val="006D365E"/>
    <w:rsid w:val="006D3876"/>
    <w:rsid w:val="006D3B21"/>
    <w:rsid w:val="006D3D91"/>
    <w:rsid w:val="006D3F1A"/>
    <w:rsid w:val="006D4161"/>
    <w:rsid w:val="006D4B18"/>
    <w:rsid w:val="006D4E0C"/>
    <w:rsid w:val="006D4F37"/>
    <w:rsid w:val="006D4FD2"/>
    <w:rsid w:val="006D5AD3"/>
    <w:rsid w:val="006D5F34"/>
    <w:rsid w:val="006D62F6"/>
    <w:rsid w:val="006D700A"/>
    <w:rsid w:val="006D732E"/>
    <w:rsid w:val="006D74FD"/>
    <w:rsid w:val="006D77F2"/>
    <w:rsid w:val="006E020E"/>
    <w:rsid w:val="006E0597"/>
    <w:rsid w:val="006E080E"/>
    <w:rsid w:val="006E1219"/>
    <w:rsid w:val="006E145C"/>
    <w:rsid w:val="006E1BC1"/>
    <w:rsid w:val="006E2154"/>
    <w:rsid w:val="006E22AA"/>
    <w:rsid w:val="006E233D"/>
    <w:rsid w:val="006E2615"/>
    <w:rsid w:val="006E2760"/>
    <w:rsid w:val="006E2816"/>
    <w:rsid w:val="006E2EDC"/>
    <w:rsid w:val="006E2F4F"/>
    <w:rsid w:val="006E3169"/>
    <w:rsid w:val="006E40B3"/>
    <w:rsid w:val="006E4253"/>
    <w:rsid w:val="006E46BB"/>
    <w:rsid w:val="006E489C"/>
    <w:rsid w:val="006E4A05"/>
    <w:rsid w:val="006E4B11"/>
    <w:rsid w:val="006E4B25"/>
    <w:rsid w:val="006E50DF"/>
    <w:rsid w:val="006E5391"/>
    <w:rsid w:val="006E543F"/>
    <w:rsid w:val="006E58CC"/>
    <w:rsid w:val="006E692A"/>
    <w:rsid w:val="006E7F88"/>
    <w:rsid w:val="006F010D"/>
    <w:rsid w:val="006F02A2"/>
    <w:rsid w:val="006F05BD"/>
    <w:rsid w:val="006F1089"/>
    <w:rsid w:val="006F116E"/>
    <w:rsid w:val="006F198E"/>
    <w:rsid w:val="006F1B44"/>
    <w:rsid w:val="006F1EE9"/>
    <w:rsid w:val="006F1FDD"/>
    <w:rsid w:val="006F22BA"/>
    <w:rsid w:val="006F3EAB"/>
    <w:rsid w:val="006F4E67"/>
    <w:rsid w:val="006F65E1"/>
    <w:rsid w:val="006F65E4"/>
    <w:rsid w:val="006F6AF0"/>
    <w:rsid w:val="006F7054"/>
    <w:rsid w:val="006F7668"/>
    <w:rsid w:val="006F7712"/>
    <w:rsid w:val="006F7957"/>
    <w:rsid w:val="006F7A24"/>
    <w:rsid w:val="006F7BA5"/>
    <w:rsid w:val="006F7DAB"/>
    <w:rsid w:val="007000DA"/>
    <w:rsid w:val="007001BD"/>
    <w:rsid w:val="00700FEE"/>
    <w:rsid w:val="00701895"/>
    <w:rsid w:val="007019E9"/>
    <w:rsid w:val="00701D1F"/>
    <w:rsid w:val="00702010"/>
    <w:rsid w:val="00702263"/>
    <w:rsid w:val="007023B9"/>
    <w:rsid w:val="0070249D"/>
    <w:rsid w:val="0070254C"/>
    <w:rsid w:val="00702713"/>
    <w:rsid w:val="0070295F"/>
    <w:rsid w:val="00702AF3"/>
    <w:rsid w:val="00702E0C"/>
    <w:rsid w:val="00703249"/>
    <w:rsid w:val="00703B47"/>
    <w:rsid w:val="0070405E"/>
    <w:rsid w:val="007046A8"/>
    <w:rsid w:val="00705484"/>
    <w:rsid w:val="00706052"/>
    <w:rsid w:val="00706787"/>
    <w:rsid w:val="007067A5"/>
    <w:rsid w:val="00707733"/>
    <w:rsid w:val="007077AF"/>
    <w:rsid w:val="007077E2"/>
    <w:rsid w:val="00707BAE"/>
    <w:rsid w:val="00707BE5"/>
    <w:rsid w:val="00710078"/>
    <w:rsid w:val="007103C7"/>
    <w:rsid w:val="0071045A"/>
    <w:rsid w:val="007110C8"/>
    <w:rsid w:val="007127FA"/>
    <w:rsid w:val="007128A0"/>
    <w:rsid w:val="00712A3E"/>
    <w:rsid w:val="00712C32"/>
    <w:rsid w:val="00712D3E"/>
    <w:rsid w:val="00712F9A"/>
    <w:rsid w:val="007133DC"/>
    <w:rsid w:val="00713D91"/>
    <w:rsid w:val="0071414B"/>
    <w:rsid w:val="00714175"/>
    <w:rsid w:val="00714255"/>
    <w:rsid w:val="00714817"/>
    <w:rsid w:val="007149B6"/>
    <w:rsid w:val="0071511E"/>
    <w:rsid w:val="007157AA"/>
    <w:rsid w:val="00716196"/>
    <w:rsid w:val="0071670C"/>
    <w:rsid w:val="00716BB8"/>
    <w:rsid w:val="00717425"/>
    <w:rsid w:val="007178FE"/>
    <w:rsid w:val="007179BC"/>
    <w:rsid w:val="0072028D"/>
    <w:rsid w:val="00720471"/>
    <w:rsid w:val="0072131E"/>
    <w:rsid w:val="00721FAD"/>
    <w:rsid w:val="0072332D"/>
    <w:rsid w:val="0072335C"/>
    <w:rsid w:val="00723A5F"/>
    <w:rsid w:val="00724239"/>
    <w:rsid w:val="00724589"/>
    <w:rsid w:val="00724DF1"/>
    <w:rsid w:val="00724F95"/>
    <w:rsid w:val="0072507F"/>
    <w:rsid w:val="007255FD"/>
    <w:rsid w:val="00725B5E"/>
    <w:rsid w:val="00725B92"/>
    <w:rsid w:val="0072620D"/>
    <w:rsid w:val="00726B8A"/>
    <w:rsid w:val="00726D83"/>
    <w:rsid w:val="00726F4B"/>
    <w:rsid w:val="00727319"/>
    <w:rsid w:val="00727425"/>
    <w:rsid w:val="00727C27"/>
    <w:rsid w:val="00727CF6"/>
    <w:rsid w:val="00727D6C"/>
    <w:rsid w:val="0073007F"/>
    <w:rsid w:val="007300E0"/>
    <w:rsid w:val="007301EC"/>
    <w:rsid w:val="00731878"/>
    <w:rsid w:val="00731B71"/>
    <w:rsid w:val="00731BA3"/>
    <w:rsid w:val="00731BF8"/>
    <w:rsid w:val="00731E9C"/>
    <w:rsid w:val="00732467"/>
    <w:rsid w:val="007325EB"/>
    <w:rsid w:val="007328E7"/>
    <w:rsid w:val="00732C8E"/>
    <w:rsid w:val="00733755"/>
    <w:rsid w:val="00733849"/>
    <w:rsid w:val="0073393E"/>
    <w:rsid w:val="00733A8D"/>
    <w:rsid w:val="00733CA4"/>
    <w:rsid w:val="00733CB6"/>
    <w:rsid w:val="0073441A"/>
    <w:rsid w:val="00734A1D"/>
    <w:rsid w:val="00735207"/>
    <w:rsid w:val="00735949"/>
    <w:rsid w:val="00735F48"/>
    <w:rsid w:val="00736331"/>
    <w:rsid w:val="00736965"/>
    <w:rsid w:val="00736D5D"/>
    <w:rsid w:val="007374F8"/>
    <w:rsid w:val="007375C1"/>
    <w:rsid w:val="00737D58"/>
    <w:rsid w:val="0074040D"/>
    <w:rsid w:val="0074131F"/>
    <w:rsid w:val="007422CB"/>
    <w:rsid w:val="00742CF8"/>
    <w:rsid w:val="007432BD"/>
    <w:rsid w:val="00743875"/>
    <w:rsid w:val="00743879"/>
    <w:rsid w:val="00743C45"/>
    <w:rsid w:val="007445B5"/>
    <w:rsid w:val="007446B5"/>
    <w:rsid w:val="0074482A"/>
    <w:rsid w:val="007449D7"/>
    <w:rsid w:val="00745AA0"/>
    <w:rsid w:val="00745C32"/>
    <w:rsid w:val="007468B1"/>
    <w:rsid w:val="00746C9D"/>
    <w:rsid w:val="007475BF"/>
    <w:rsid w:val="0074782F"/>
    <w:rsid w:val="00747E00"/>
    <w:rsid w:val="00747F42"/>
    <w:rsid w:val="007502B3"/>
    <w:rsid w:val="00750650"/>
    <w:rsid w:val="007509DD"/>
    <w:rsid w:val="00750A87"/>
    <w:rsid w:val="00750FA4"/>
    <w:rsid w:val="0075102E"/>
    <w:rsid w:val="00751189"/>
    <w:rsid w:val="00751631"/>
    <w:rsid w:val="007520F7"/>
    <w:rsid w:val="007521BB"/>
    <w:rsid w:val="00752892"/>
    <w:rsid w:val="00752E9F"/>
    <w:rsid w:val="00752FFC"/>
    <w:rsid w:val="00753896"/>
    <w:rsid w:val="00753D28"/>
    <w:rsid w:val="00753FE3"/>
    <w:rsid w:val="007546E1"/>
    <w:rsid w:val="0075478A"/>
    <w:rsid w:val="007549D1"/>
    <w:rsid w:val="00754B66"/>
    <w:rsid w:val="007550C7"/>
    <w:rsid w:val="007552D9"/>
    <w:rsid w:val="0075556C"/>
    <w:rsid w:val="0075564F"/>
    <w:rsid w:val="00755F6C"/>
    <w:rsid w:val="007560CE"/>
    <w:rsid w:val="00756ECD"/>
    <w:rsid w:val="007573FF"/>
    <w:rsid w:val="00757C39"/>
    <w:rsid w:val="00757E0B"/>
    <w:rsid w:val="00760314"/>
    <w:rsid w:val="00760449"/>
    <w:rsid w:val="007604B0"/>
    <w:rsid w:val="00760770"/>
    <w:rsid w:val="00760AA7"/>
    <w:rsid w:val="00760BC9"/>
    <w:rsid w:val="00760DA3"/>
    <w:rsid w:val="00760EB3"/>
    <w:rsid w:val="00762A5D"/>
    <w:rsid w:val="007638D0"/>
    <w:rsid w:val="00763E86"/>
    <w:rsid w:val="007641F3"/>
    <w:rsid w:val="00764283"/>
    <w:rsid w:val="00764BA2"/>
    <w:rsid w:val="00765861"/>
    <w:rsid w:val="00766238"/>
    <w:rsid w:val="0076648C"/>
    <w:rsid w:val="00766FA6"/>
    <w:rsid w:val="00766FDD"/>
    <w:rsid w:val="0076773C"/>
    <w:rsid w:val="00767EB4"/>
    <w:rsid w:val="00771535"/>
    <w:rsid w:val="007716AB"/>
    <w:rsid w:val="00771DA5"/>
    <w:rsid w:val="00771F1F"/>
    <w:rsid w:val="00771FA0"/>
    <w:rsid w:val="0077203A"/>
    <w:rsid w:val="00772A28"/>
    <w:rsid w:val="00772B29"/>
    <w:rsid w:val="00773487"/>
    <w:rsid w:val="007740E7"/>
    <w:rsid w:val="007741B0"/>
    <w:rsid w:val="007747A8"/>
    <w:rsid w:val="00774840"/>
    <w:rsid w:val="007750F7"/>
    <w:rsid w:val="007757FA"/>
    <w:rsid w:val="00775FD0"/>
    <w:rsid w:val="00776149"/>
    <w:rsid w:val="0077619D"/>
    <w:rsid w:val="0077627E"/>
    <w:rsid w:val="007763C7"/>
    <w:rsid w:val="00776746"/>
    <w:rsid w:val="00776DD0"/>
    <w:rsid w:val="00776F69"/>
    <w:rsid w:val="00777227"/>
    <w:rsid w:val="0077797D"/>
    <w:rsid w:val="00777DD7"/>
    <w:rsid w:val="00777F7C"/>
    <w:rsid w:val="00780E81"/>
    <w:rsid w:val="007812DB"/>
    <w:rsid w:val="00781597"/>
    <w:rsid w:val="00781A3D"/>
    <w:rsid w:val="00781F8F"/>
    <w:rsid w:val="007823D5"/>
    <w:rsid w:val="007829EE"/>
    <w:rsid w:val="00782AF5"/>
    <w:rsid w:val="00782BC2"/>
    <w:rsid w:val="0078316C"/>
    <w:rsid w:val="00783B9F"/>
    <w:rsid w:val="00783E1C"/>
    <w:rsid w:val="0078431E"/>
    <w:rsid w:val="00784673"/>
    <w:rsid w:val="00784693"/>
    <w:rsid w:val="007847F5"/>
    <w:rsid w:val="00785211"/>
    <w:rsid w:val="00785528"/>
    <w:rsid w:val="00785C99"/>
    <w:rsid w:val="0078678E"/>
    <w:rsid w:val="00786A2D"/>
    <w:rsid w:val="00786F13"/>
    <w:rsid w:val="0078703F"/>
    <w:rsid w:val="0078719D"/>
    <w:rsid w:val="007876D8"/>
    <w:rsid w:val="0078775F"/>
    <w:rsid w:val="00787EE2"/>
    <w:rsid w:val="007909FD"/>
    <w:rsid w:val="00790AA5"/>
    <w:rsid w:val="007911A2"/>
    <w:rsid w:val="00791A0F"/>
    <w:rsid w:val="00791E70"/>
    <w:rsid w:val="00792137"/>
    <w:rsid w:val="0079270D"/>
    <w:rsid w:val="00792C78"/>
    <w:rsid w:val="00793A09"/>
    <w:rsid w:val="00794C29"/>
    <w:rsid w:val="00794F0C"/>
    <w:rsid w:val="007954C6"/>
    <w:rsid w:val="0079603C"/>
    <w:rsid w:val="00796175"/>
    <w:rsid w:val="007963DE"/>
    <w:rsid w:val="007969F9"/>
    <w:rsid w:val="007974C4"/>
    <w:rsid w:val="007976C8"/>
    <w:rsid w:val="00797855"/>
    <w:rsid w:val="00797CC8"/>
    <w:rsid w:val="007A0139"/>
    <w:rsid w:val="007A115C"/>
    <w:rsid w:val="007A12A7"/>
    <w:rsid w:val="007A1682"/>
    <w:rsid w:val="007A16A4"/>
    <w:rsid w:val="007A1A19"/>
    <w:rsid w:val="007A1A7B"/>
    <w:rsid w:val="007A1F5C"/>
    <w:rsid w:val="007A2314"/>
    <w:rsid w:val="007A25BC"/>
    <w:rsid w:val="007A2BB8"/>
    <w:rsid w:val="007A2E83"/>
    <w:rsid w:val="007A3350"/>
    <w:rsid w:val="007A36A8"/>
    <w:rsid w:val="007A3779"/>
    <w:rsid w:val="007A3F39"/>
    <w:rsid w:val="007A448F"/>
    <w:rsid w:val="007A48C9"/>
    <w:rsid w:val="007A50C5"/>
    <w:rsid w:val="007A5D5D"/>
    <w:rsid w:val="007A5DE6"/>
    <w:rsid w:val="007A5E07"/>
    <w:rsid w:val="007A5F02"/>
    <w:rsid w:val="007A6319"/>
    <w:rsid w:val="007A6A08"/>
    <w:rsid w:val="007A6AD4"/>
    <w:rsid w:val="007A7ED1"/>
    <w:rsid w:val="007B03B5"/>
    <w:rsid w:val="007B0433"/>
    <w:rsid w:val="007B13A8"/>
    <w:rsid w:val="007B178E"/>
    <w:rsid w:val="007B25F1"/>
    <w:rsid w:val="007B2E56"/>
    <w:rsid w:val="007B2EB2"/>
    <w:rsid w:val="007B382D"/>
    <w:rsid w:val="007B40D5"/>
    <w:rsid w:val="007B4613"/>
    <w:rsid w:val="007B4629"/>
    <w:rsid w:val="007B4733"/>
    <w:rsid w:val="007B4D2C"/>
    <w:rsid w:val="007B5D98"/>
    <w:rsid w:val="007B670E"/>
    <w:rsid w:val="007B6AE1"/>
    <w:rsid w:val="007B6BB8"/>
    <w:rsid w:val="007B6DCD"/>
    <w:rsid w:val="007B6EA3"/>
    <w:rsid w:val="007B7061"/>
    <w:rsid w:val="007B706A"/>
    <w:rsid w:val="007B7F43"/>
    <w:rsid w:val="007C0006"/>
    <w:rsid w:val="007C0214"/>
    <w:rsid w:val="007C029E"/>
    <w:rsid w:val="007C0804"/>
    <w:rsid w:val="007C0D5C"/>
    <w:rsid w:val="007C161B"/>
    <w:rsid w:val="007C1B03"/>
    <w:rsid w:val="007C1FBC"/>
    <w:rsid w:val="007C2645"/>
    <w:rsid w:val="007C2870"/>
    <w:rsid w:val="007C2895"/>
    <w:rsid w:val="007C2DD8"/>
    <w:rsid w:val="007C2F35"/>
    <w:rsid w:val="007C302F"/>
    <w:rsid w:val="007C3157"/>
    <w:rsid w:val="007C32D1"/>
    <w:rsid w:val="007C417A"/>
    <w:rsid w:val="007C430B"/>
    <w:rsid w:val="007C444A"/>
    <w:rsid w:val="007C4649"/>
    <w:rsid w:val="007C47DD"/>
    <w:rsid w:val="007C52BE"/>
    <w:rsid w:val="007C58A2"/>
    <w:rsid w:val="007C59D5"/>
    <w:rsid w:val="007C59F9"/>
    <w:rsid w:val="007C5B83"/>
    <w:rsid w:val="007C5C48"/>
    <w:rsid w:val="007C5D30"/>
    <w:rsid w:val="007C6195"/>
    <w:rsid w:val="007C66F0"/>
    <w:rsid w:val="007C67FD"/>
    <w:rsid w:val="007C6D2C"/>
    <w:rsid w:val="007C7190"/>
    <w:rsid w:val="007C77EC"/>
    <w:rsid w:val="007C7AD5"/>
    <w:rsid w:val="007D0FCE"/>
    <w:rsid w:val="007D13F5"/>
    <w:rsid w:val="007D1F85"/>
    <w:rsid w:val="007D2948"/>
    <w:rsid w:val="007D325D"/>
    <w:rsid w:val="007D33BD"/>
    <w:rsid w:val="007D3E42"/>
    <w:rsid w:val="007D46A2"/>
    <w:rsid w:val="007D4CD2"/>
    <w:rsid w:val="007D5B13"/>
    <w:rsid w:val="007D5CD3"/>
    <w:rsid w:val="007D63E1"/>
    <w:rsid w:val="007D6606"/>
    <w:rsid w:val="007D7268"/>
    <w:rsid w:val="007D758B"/>
    <w:rsid w:val="007D7BA5"/>
    <w:rsid w:val="007D7BD0"/>
    <w:rsid w:val="007D7F65"/>
    <w:rsid w:val="007E040D"/>
    <w:rsid w:val="007E091D"/>
    <w:rsid w:val="007E108B"/>
    <w:rsid w:val="007E120D"/>
    <w:rsid w:val="007E12EF"/>
    <w:rsid w:val="007E168A"/>
    <w:rsid w:val="007E1A4E"/>
    <w:rsid w:val="007E1B02"/>
    <w:rsid w:val="007E1EC5"/>
    <w:rsid w:val="007E217A"/>
    <w:rsid w:val="007E2736"/>
    <w:rsid w:val="007E2B72"/>
    <w:rsid w:val="007E2F66"/>
    <w:rsid w:val="007E313F"/>
    <w:rsid w:val="007E3E41"/>
    <w:rsid w:val="007E421F"/>
    <w:rsid w:val="007E46C5"/>
    <w:rsid w:val="007E50F5"/>
    <w:rsid w:val="007E51A0"/>
    <w:rsid w:val="007E54F6"/>
    <w:rsid w:val="007E554F"/>
    <w:rsid w:val="007E56DC"/>
    <w:rsid w:val="007E5A56"/>
    <w:rsid w:val="007E5ABB"/>
    <w:rsid w:val="007E5C37"/>
    <w:rsid w:val="007E5E08"/>
    <w:rsid w:val="007E66C1"/>
    <w:rsid w:val="007E68F2"/>
    <w:rsid w:val="007E75BE"/>
    <w:rsid w:val="007F0163"/>
    <w:rsid w:val="007F0582"/>
    <w:rsid w:val="007F0C1D"/>
    <w:rsid w:val="007F159D"/>
    <w:rsid w:val="007F1B23"/>
    <w:rsid w:val="007F1D3D"/>
    <w:rsid w:val="007F1DA5"/>
    <w:rsid w:val="007F24A6"/>
    <w:rsid w:val="007F24D5"/>
    <w:rsid w:val="007F25D4"/>
    <w:rsid w:val="007F2C2A"/>
    <w:rsid w:val="007F2CA5"/>
    <w:rsid w:val="007F2CAD"/>
    <w:rsid w:val="007F3216"/>
    <w:rsid w:val="007F3371"/>
    <w:rsid w:val="007F3FB8"/>
    <w:rsid w:val="007F4B64"/>
    <w:rsid w:val="007F4E21"/>
    <w:rsid w:val="007F58B9"/>
    <w:rsid w:val="007F63F3"/>
    <w:rsid w:val="007F6432"/>
    <w:rsid w:val="007F66CC"/>
    <w:rsid w:val="007F6752"/>
    <w:rsid w:val="007F6A5D"/>
    <w:rsid w:val="007F6D7F"/>
    <w:rsid w:val="007F6EEF"/>
    <w:rsid w:val="007F7B4B"/>
    <w:rsid w:val="007F7C1D"/>
    <w:rsid w:val="00800FD4"/>
    <w:rsid w:val="00801041"/>
    <w:rsid w:val="00801ABB"/>
    <w:rsid w:val="00801C20"/>
    <w:rsid w:val="0080235D"/>
    <w:rsid w:val="0080236D"/>
    <w:rsid w:val="00802564"/>
    <w:rsid w:val="00802594"/>
    <w:rsid w:val="008030CA"/>
    <w:rsid w:val="00804575"/>
    <w:rsid w:val="008047DF"/>
    <w:rsid w:val="008050C1"/>
    <w:rsid w:val="00805948"/>
    <w:rsid w:val="00806231"/>
    <w:rsid w:val="00806D3A"/>
    <w:rsid w:val="00806E3B"/>
    <w:rsid w:val="00807527"/>
    <w:rsid w:val="00807F67"/>
    <w:rsid w:val="00810FDB"/>
    <w:rsid w:val="00811470"/>
    <w:rsid w:val="00811633"/>
    <w:rsid w:val="00811AE0"/>
    <w:rsid w:val="008124C0"/>
    <w:rsid w:val="00812575"/>
    <w:rsid w:val="00812B43"/>
    <w:rsid w:val="00812F58"/>
    <w:rsid w:val="00813E0B"/>
    <w:rsid w:val="008142E1"/>
    <w:rsid w:val="00814C42"/>
    <w:rsid w:val="00815035"/>
    <w:rsid w:val="00815314"/>
    <w:rsid w:val="008158CA"/>
    <w:rsid w:val="00816C4E"/>
    <w:rsid w:val="00816C72"/>
    <w:rsid w:val="0081712B"/>
    <w:rsid w:val="008176BB"/>
    <w:rsid w:val="008177C6"/>
    <w:rsid w:val="00817BC0"/>
    <w:rsid w:val="00820B34"/>
    <w:rsid w:val="00820B99"/>
    <w:rsid w:val="00820D2E"/>
    <w:rsid w:val="00820DCA"/>
    <w:rsid w:val="00821B02"/>
    <w:rsid w:val="00821FD4"/>
    <w:rsid w:val="008225DC"/>
    <w:rsid w:val="0082295A"/>
    <w:rsid w:val="00822AC4"/>
    <w:rsid w:val="00823081"/>
    <w:rsid w:val="00823427"/>
    <w:rsid w:val="008237CE"/>
    <w:rsid w:val="00823DC4"/>
    <w:rsid w:val="0082405E"/>
    <w:rsid w:val="008242BD"/>
    <w:rsid w:val="00824403"/>
    <w:rsid w:val="00824E09"/>
    <w:rsid w:val="00825137"/>
    <w:rsid w:val="008252DD"/>
    <w:rsid w:val="00825910"/>
    <w:rsid w:val="00826378"/>
    <w:rsid w:val="008264B9"/>
    <w:rsid w:val="008269B3"/>
    <w:rsid w:val="00826BAD"/>
    <w:rsid w:val="008270D1"/>
    <w:rsid w:val="008271B6"/>
    <w:rsid w:val="00827264"/>
    <w:rsid w:val="00827701"/>
    <w:rsid w:val="008305F3"/>
    <w:rsid w:val="0083084C"/>
    <w:rsid w:val="008309F2"/>
    <w:rsid w:val="00830CBE"/>
    <w:rsid w:val="00831952"/>
    <w:rsid w:val="00831969"/>
    <w:rsid w:val="00831C71"/>
    <w:rsid w:val="00831D8C"/>
    <w:rsid w:val="00832161"/>
    <w:rsid w:val="00833070"/>
    <w:rsid w:val="00833340"/>
    <w:rsid w:val="00833364"/>
    <w:rsid w:val="0083390F"/>
    <w:rsid w:val="00833C37"/>
    <w:rsid w:val="008349D2"/>
    <w:rsid w:val="00834A71"/>
    <w:rsid w:val="00834BE2"/>
    <w:rsid w:val="00835500"/>
    <w:rsid w:val="008356D5"/>
    <w:rsid w:val="00835ADF"/>
    <w:rsid w:val="00835F0D"/>
    <w:rsid w:val="00836015"/>
    <w:rsid w:val="00836090"/>
    <w:rsid w:val="00836327"/>
    <w:rsid w:val="008366FE"/>
    <w:rsid w:val="00836A79"/>
    <w:rsid w:val="008375FC"/>
    <w:rsid w:val="00840282"/>
    <w:rsid w:val="00840AB8"/>
    <w:rsid w:val="00840B6F"/>
    <w:rsid w:val="00840B75"/>
    <w:rsid w:val="00840C9C"/>
    <w:rsid w:val="00841214"/>
    <w:rsid w:val="0084160D"/>
    <w:rsid w:val="00841B32"/>
    <w:rsid w:val="00842408"/>
    <w:rsid w:val="008429C8"/>
    <w:rsid w:val="00842A0E"/>
    <w:rsid w:val="0084340C"/>
    <w:rsid w:val="00844230"/>
    <w:rsid w:val="00844307"/>
    <w:rsid w:val="00844372"/>
    <w:rsid w:val="00844657"/>
    <w:rsid w:val="008450B3"/>
    <w:rsid w:val="00845374"/>
    <w:rsid w:val="00845606"/>
    <w:rsid w:val="008468AF"/>
    <w:rsid w:val="00846CC4"/>
    <w:rsid w:val="008470C1"/>
    <w:rsid w:val="008479B8"/>
    <w:rsid w:val="00847B9A"/>
    <w:rsid w:val="00847D22"/>
    <w:rsid w:val="00850582"/>
    <w:rsid w:val="00850CDE"/>
    <w:rsid w:val="00850ECC"/>
    <w:rsid w:val="00851D9E"/>
    <w:rsid w:val="00852123"/>
    <w:rsid w:val="00852D23"/>
    <w:rsid w:val="008530EC"/>
    <w:rsid w:val="008531B5"/>
    <w:rsid w:val="008535AD"/>
    <w:rsid w:val="00853C04"/>
    <w:rsid w:val="00853EB3"/>
    <w:rsid w:val="00853FA0"/>
    <w:rsid w:val="0085470D"/>
    <w:rsid w:val="00854749"/>
    <w:rsid w:val="008549B2"/>
    <w:rsid w:val="00854CE6"/>
    <w:rsid w:val="00854E1B"/>
    <w:rsid w:val="00854EED"/>
    <w:rsid w:val="00855410"/>
    <w:rsid w:val="008557D3"/>
    <w:rsid w:val="0085597E"/>
    <w:rsid w:val="00855D73"/>
    <w:rsid w:val="008560C0"/>
    <w:rsid w:val="008561D6"/>
    <w:rsid w:val="00856706"/>
    <w:rsid w:val="0085767F"/>
    <w:rsid w:val="00857709"/>
    <w:rsid w:val="0085794E"/>
    <w:rsid w:val="00857F16"/>
    <w:rsid w:val="00860897"/>
    <w:rsid w:val="00862047"/>
    <w:rsid w:val="008621B8"/>
    <w:rsid w:val="00862289"/>
    <w:rsid w:val="0086233E"/>
    <w:rsid w:val="00862358"/>
    <w:rsid w:val="00862C3A"/>
    <w:rsid w:val="00862FCF"/>
    <w:rsid w:val="00863181"/>
    <w:rsid w:val="00863ED1"/>
    <w:rsid w:val="00864025"/>
    <w:rsid w:val="0086425A"/>
    <w:rsid w:val="00864EBF"/>
    <w:rsid w:val="00865120"/>
    <w:rsid w:val="00865185"/>
    <w:rsid w:val="008656FA"/>
    <w:rsid w:val="008657F3"/>
    <w:rsid w:val="00865D5A"/>
    <w:rsid w:val="0086600C"/>
    <w:rsid w:val="0086638E"/>
    <w:rsid w:val="00866D3D"/>
    <w:rsid w:val="00867610"/>
    <w:rsid w:val="00867729"/>
    <w:rsid w:val="008678DA"/>
    <w:rsid w:val="00867C3F"/>
    <w:rsid w:val="00867DA3"/>
    <w:rsid w:val="0087063E"/>
    <w:rsid w:val="00870B82"/>
    <w:rsid w:val="00870E45"/>
    <w:rsid w:val="0087113B"/>
    <w:rsid w:val="0087135C"/>
    <w:rsid w:val="00871398"/>
    <w:rsid w:val="008729EA"/>
    <w:rsid w:val="00872A97"/>
    <w:rsid w:val="00872AF3"/>
    <w:rsid w:val="00872C4D"/>
    <w:rsid w:val="00872FD9"/>
    <w:rsid w:val="008733FF"/>
    <w:rsid w:val="008736AF"/>
    <w:rsid w:val="00873CB0"/>
    <w:rsid w:val="008750D8"/>
    <w:rsid w:val="0087563A"/>
    <w:rsid w:val="00875765"/>
    <w:rsid w:val="008761BD"/>
    <w:rsid w:val="00876383"/>
    <w:rsid w:val="00876BA6"/>
    <w:rsid w:val="00877E62"/>
    <w:rsid w:val="00877FAB"/>
    <w:rsid w:val="008802F0"/>
    <w:rsid w:val="0088094B"/>
    <w:rsid w:val="00880AE5"/>
    <w:rsid w:val="00881163"/>
    <w:rsid w:val="0088131C"/>
    <w:rsid w:val="00881976"/>
    <w:rsid w:val="00881A4F"/>
    <w:rsid w:val="00881ECC"/>
    <w:rsid w:val="00882130"/>
    <w:rsid w:val="00882192"/>
    <w:rsid w:val="008823FB"/>
    <w:rsid w:val="00882C56"/>
    <w:rsid w:val="00882EE8"/>
    <w:rsid w:val="00883826"/>
    <w:rsid w:val="008838A4"/>
    <w:rsid w:val="00883BC4"/>
    <w:rsid w:val="00884B07"/>
    <w:rsid w:val="00884D89"/>
    <w:rsid w:val="00885141"/>
    <w:rsid w:val="0088547F"/>
    <w:rsid w:val="0088554F"/>
    <w:rsid w:val="008858D1"/>
    <w:rsid w:val="00885C21"/>
    <w:rsid w:val="00885D64"/>
    <w:rsid w:val="00885EC3"/>
    <w:rsid w:val="0088690A"/>
    <w:rsid w:val="00887009"/>
    <w:rsid w:val="00887992"/>
    <w:rsid w:val="00887FC0"/>
    <w:rsid w:val="00887FF8"/>
    <w:rsid w:val="00890071"/>
    <w:rsid w:val="00890739"/>
    <w:rsid w:val="0089082B"/>
    <w:rsid w:val="00890B54"/>
    <w:rsid w:val="00891071"/>
    <w:rsid w:val="0089131F"/>
    <w:rsid w:val="008914A9"/>
    <w:rsid w:val="008916FE"/>
    <w:rsid w:val="00891894"/>
    <w:rsid w:val="00891EB0"/>
    <w:rsid w:val="0089220B"/>
    <w:rsid w:val="0089221B"/>
    <w:rsid w:val="00892239"/>
    <w:rsid w:val="0089249D"/>
    <w:rsid w:val="0089250E"/>
    <w:rsid w:val="008925AD"/>
    <w:rsid w:val="00892A0C"/>
    <w:rsid w:val="00892D39"/>
    <w:rsid w:val="00892D83"/>
    <w:rsid w:val="00892FA7"/>
    <w:rsid w:val="00893086"/>
    <w:rsid w:val="008938A4"/>
    <w:rsid w:val="00893947"/>
    <w:rsid w:val="00893BF6"/>
    <w:rsid w:val="00893C96"/>
    <w:rsid w:val="00893D8D"/>
    <w:rsid w:val="00893EEB"/>
    <w:rsid w:val="00894026"/>
    <w:rsid w:val="008940DA"/>
    <w:rsid w:val="008942BE"/>
    <w:rsid w:val="00894759"/>
    <w:rsid w:val="00895531"/>
    <w:rsid w:val="00895717"/>
    <w:rsid w:val="008959D0"/>
    <w:rsid w:val="008962D9"/>
    <w:rsid w:val="0089674E"/>
    <w:rsid w:val="008968F9"/>
    <w:rsid w:val="008969B2"/>
    <w:rsid w:val="00897523"/>
    <w:rsid w:val="00897A38"/>
    <w:rsid w:val="00897D02"/>
    <w:rsid w:val="008A00DE"/>
    <w:rsid w:val="008A0336"/>
    <w:rsid w:val="008A08B5"/>
    <w:rsid w:val="008A0BF3"/>
    <w:rsid w:val="008A0E74"/>
    <w:rsid w:val="008A0E9D"/>
    <w:rsid w:val="008A1831"/>
    <w:rsid w:val="008A1AA7"/>
    <w:rsid w:val="008A1B00"/>
    <w:rsid w:val="008A2163"/>
    <w:rsid w:val="008A24F9"/>
    <w:rsid w:val="008A2571"/>
    <w:rsid w:val="008A2815"/>
    <w:rsid w:val="008A2941"/>
    <w:rsid w:val="008A2BE0"/>
    <w:rsid w:val="008A3420"/>
    <w:rsid w:val="008A3C9B"/>
    <w:rsid w:val="008A3EC8"/>
    <w:rsid w:val="008A40D1"/>
    <w:rsid w:val="008A4401"/>
    <w:rsid w:val="008A4575"/>
    <w:rsid w:val="008A5136"/>
    <w:rsid w:val="008A51F8"/>
    <w:rsid w:val="008A55A6"/>
    <w:rsid w:val="008A5779"/>
    <w:rsid w:val="008A5C1F"/>
    <w:rsid w:val="008A5DE7"/>
    <w:rsid w:val="008A604F"/>
    <w:rsid w:val="008A6CFF"/>
    <w:rsid w:val="008A6D05"/>
    <w:rsid w:val="008A6D4D"/>
    <w:rsid w:val="008A6DDD"/>
    <w:rsid w:val="008A72D3"/>
    <w:rsid w:val="008A78F5"/>
    <w:rsid w:val="008B0231"/>
    <w:rsid w:val="008B056F"/>
    <w:rsid w:val="008B0812"/>
    <w:rsid w:val="008B08B5"/>
    <w:rsid w:val="008B0F7E"/>
    <w:rsid w:val="008B1CC2"/>
    <w:rsid w:val="008B2A24"/>
    <w:rsid w:val="008B2ED1"/>
    <w:rsid w:val="008B2F13"/>
    <w:rsid w:val="008B2F38"/>
    <w:rsid w:val="008B355B"/>
    <w:rsid w:val="008B370D"/>
    <w:rsid w:val="008B3C0E"/>
    <w:rsid w:val="008B42CA"/>
    <w:rsid w:val="008B4539"/>
    <w:rsid w:val="008B51F9"/>
    <w:rsid w:val="008B561E"/>
    <w:rsid w:val="008B585C"/>
    <w:rsid w:val="008B5CA0"/>
    <w:rsid w:val="008B6156"/>
    <w:rsid w:val="008B78C0"/>
    <w:rsid w:val="008B7C3C"/>
    <w:rsid w:val="008B7FFB"/>
    <w:rsid w:val="008C042B"/>
    <w:rsid w:val="008C048E"/>
    <w:rsid w:val="008C10B5"/>
    <w:rsid w:val="008C1ECC"/>
    <w:rsid w:val="008C22ED"/>
    <w:rsid w:val="008C2B12"/>
    <w:rsid w:val="008C2BB4"/>
    <w:rsid w:val="008C2C01"/>
    <w:rsid w:val="008C353D"/>
    <w:rsid w:val="008C35DF"/>
    <w:rsid w:val="008C382B"/>
    <w:rsid w:val="008C3A6B"/>
    <w:rsid w:val="008C3E79"/>
    <w:rsid w:val="008C41C8"/>
    <w:rsid w:val="008C4768"/>
    <w:rsid w:val="008C4C1E"/>
    <w:rsid w:val="008C4E81"/>
    <w:rsid w:val="008C4F45"/>
    <w:rsid w:val="008C524C"/>
    <w:rsid w:val="008C5930"/>
    <w:rsid w:val="008C6005"/>
    <w:rsid w:val="008C6149"/>
    <w:rsid w:val="008C6641"/>
    <w:rsid w:val="008C67E0"/>
    <w:rsid w:val="008C68F9"/>
    <w:rsid w:val="008C6ECD"/>
    <w:rsid w:val="008C7088"/>
    <w:rsid w:val="008C70F5"/>
    <w:rsid w:val="008C7220"/>
    <w:rsid w:val="008C730E"/>
    <w:rsid w:val="008C7AE2"/>
    <w:rsid w:val="008C7DB4"/>
    <w:rsid w:val="008D072F"/>
    <w:rsid w:val="008D0C34"/>
    <w:rsid w:val="008D1004"/>
    <w:rsid w:val="008D1013"/>
    <w:rsid w:val="008D140B"/>
    <w:rsid w:val="008D14FA"/>
    <w:rsid w:val="008D1590"/>
    <w:rsid w:val="008D19AB"/>
    <w:rsid w:val="008D1FC0"/>
    <w:rsid w:val="008D2433"/>
    <w:rsid w:val="008D25A9"/>
    <w:rsid w:val="008D3562"/>
    <w:rsid w:val="008D35A5"/>
    <w:rsid w:val="008D37F4"/>
    <w:rsid w:val="008D5031"/>
    <w:rsid w:val="008D5125"/>
    <w:rsid w:val="008D5A04"/>
    <w:rsid w:val="008D6977"/>
    <w:rsid w:val="008D6EAF"/>
    <w:rsid w:val="008D74A6"/>
    <w:rsid w:val="008D7813"/>
    <w:rsid w:val="008D7E46"/>
    <w:rsid w:val="008D7F65"/>
    <w:rsid w:val="008D7FCB"/>
    <w:rsid w:val="008E030E"/>
    <w:rsid w:val="008E06D6"/>
    <w:rsid w:val="008E147C"/>
    <w:rsid w:val="008E1836"/>
    <w:rsid w:val="008E1EE8"/>
    <w:rsid w:val="008E202F"/>
    <w:rsid w:val="008E2891"/>
    <w:rsid w:val="008E3861"/>
    <w:rsid w:val="008E4001"/>
    <w:rsid w:val="008E435C"/>
    <w:rsid w:val="008E4684"/>
    <w:rsid w:val="008E4B40"/>
    <w:rsid w:val="008E4BFD"/>
    <w:rsid w:val="008E4D94"/>
    <w:rsid w:val="008E4DFF"/>
    <w:rsid w:val="008E52E3"/>
    <w:rsid w:val="008E5FDB"/>
    <w:rsid w:val="008E60CD"/>
    <w:rsid w:val="008E652B"/>
    <w:rsid w:val="008E652F"/>
    <w:rsid w:val="008E65A9"/>
    <w:rsid w:val="008E679D"/>
    <w:rsid w:val="008E679E"/>
    <w:rsid w:val="008E67F5"/>
    <w:rsid w:val="008E6F43"/>
    <w:rsid w:val="008E731B"/>
    <w:rsid w:val="008E75F4"/>
    <w:rsid w:val="008E7CAD"/>
    <w:rsid w:val="008E7FC3"/>
    <w:rsid w:val="008F049D"/>
    <w:rsid w:val="008F04F1"/>
    <w:rsid w:val="008F0D96"/>
    <w:rsid w:val="008F2236"/>
    <w:rsid w:val="008F27A3"/>
    <w:rsid w:val="008F2D84"/>
    <w:rsid w:val="008F2E38"/>
    <w:rsid w:val="008F3033"/>
    <w:rsid w:val="008F3951"/>
    <w:rsid w:val="008F3B54"/>
    <w:rsid w:val="008F3DE7"/>
    <w:rsid w:val="008F4595"/>
    <w:rsid w:val="008F4C1D"/>
    <w:rsid w:val="008F4C97"/>
    <w:rsid w:val="008F4E5D"/>
    <w:rsid w:val="008F5208"/>
    <w:rsid w:val="008F5C19"/>
    <w:rsid w:val="008F61DE"/>
    <w:rsid w:val="008F683B"/>
    <w:rsid w:val="008F6903"/>
    <w:rsid w:val="008F6BCA"/>
    <w:rsid w:val="008F6D93"/>
    <w:rsid w:val="008F7059"/>
    <w:rsid w:val="008F743E"/>
    <w:rsid w:val="008F7C49"/>
    <w:rsid w:val="008F7D26"/>
    <w:rsid w:val="008F7D2F"/>
    <w:rsid w:val="008F7F1B"/>
    <w:rsid w:val="0090008F"/>
    <w:rsid w:val="00900ACD"/>
    <w:rsid w:val="00901017"/>
    <w:rsid w:val="0090152C"/>
    <w:rsid w:val="009016C7"/>
    <w:rsid w:val="009019D9"/>
    <w:rsid w:val="00902500"/>
    <w:rsid w:val="00902B2E"/>
    <w:rsid w:val="00903024"/>
    <w:rsid w:val="00903449"/>
    <w:rsid w:val="009036EF"/>
    <w:rsid w:val="00903995"/>
    <w:rsid w:val="00903E9D"/>
    <w:rsid w:val="00904AFF"/>
    <w:rsid w:val="00904E26"/>
    <w:rsid w:val="00905149"/>
    <w:rsid w:val="00905411"/>
    <w:rsid w:val="00905C5F"/>
    <w:rsid w:val="009063E8"/>
    <w:rsid w:val="0090661A"/>
    <w:rsid w:val="009066D7"/>
    <w:rsid w:val="00906ADD"/>
    <w:rsid w:val="00906E90"/>
    <w:rsid w:val="00907033"/>
    <w:rsid w:val="009077BB"/>
    <w:rsid w:val="00907AD0"/>
    <w:rsid w:val="00907C6E"/>
    <w:rsid w:val="00910388"/>
    <w:rsid w:val="0091142C"/>
    <w:rsid w:val="00911C54"/>
    <w:rsid w:val="00912187"/>
    <w:rsid w:val="00912838"/>
    <w:rsid w:val="00912C18"/>
    <w:rsid w:val="0091307A"/>
    <w:rsid w:val="0091344A"/>
    <w:rsid w:val="00913B77"/>
    <w:rsid w:val="00913E90"/>
    <w:rsid w:val="00913F31"/>
    <w:rsid w:val="00914239"/>
    <w:rsid w:val="009143B5"/>
    <w:rsid w:val="009143E6"/>
    <w:rsid w:val="00914AFE"/>
    <w:rsid w:val="00914D94"/>
    <w:rsid w:val="00914ED6"/>
    <w:rsid w:val="00915173"/>
    <w:rsid w:val="009152A0"/>
    <w:rsid w:val="00915350"/>
    <w:rsid w:val="00915A3A"/>
    <w:rsid w:val="009165B7"/>
    <w:rsid w:val="009166EC"/>
    <w:rsid w:val="00916B1E"/>
    <w:rsid w:val="009173CD"/>
    <w:rsid w:val="00917820"/>
    <w:rsid w:val="00917928"/>
    <w:rsid w:val="00917DCC"/>
    <w:rsid w:val="0092016E"/>
    <w:rsid w:val="009204DC"/>
    <w:rsid w:val="00920BD0"/>
    <w:rsid w:val="00920F08"/>
    <w:rsid w:val="00921C5C"/>
    <w:rsid w:val="009223AE"/>
    <w:rsid w:val="0092282A"/>
    <w:rsid w:val="00922A8D"/>
    <w:rsid w:val="00922DF5"/>
    <w:rsid w:val="00923158"/>
    <w:rsid w:val="009237B1"/>
    <w:rsid w:val="00923B57"/>
    <w:rsid w:val="00923DAB"/>
    <w:rsid w:val="009244B6"/>
    <w:rsid w:val="0092450B"/>
    <w:rsid w:val="00924AB6"/>
    <w:rsid w:val="00924E1F"/>
    <w:rsid w:val="00926133"/>
    <w:rsid w:val="009265B8"/>
    <w:rsid w:val="009265DB"/>
    <w:rsid w:val="00926C29"/>
    <w:rsid w:val="00926CBD"/>
    <w:rsid w:val="00926E01"/>
    <w:rsid w:val="00926FF4"/>
    <w:rsid w:val="00927497"/>
    <w:rsid w:val="00927E89"/>
    <w:rsid w:val="0093006C"/>
    <w:rsid w:val="0093018E"/>
    <w:rsid w:val="00930198"/>
    <w:rsid w:val="00931AD6"/>
    <w:rsid w:val="00931AF8"/>
    <w:rsid w:val="0093261A"/>
    <w:rsid w:val="009329C2"/>
    <w:rsid w:val="00932E41"/>
    <w:rsid w:val="00932EBC"/>
    <w:rsid w:val="00932FE6"/>
    <w:rsid w:val="00933233"/>
    <w:rsid w:val="009333AD"/>
    <w:rsid w:val="00933867"/>
    <w:rsid w:val="0093454B"/>
    <w:rsid w:val="00934ACB"/>
    <w:rsid w:val="00934D07"/>
    <w:rsid w:val="00935F8D"/>
    <w:rsid w:val="00936013"/>
    <w:rsid w:val="0093639E"/>
    <w:rsid w:val="009365EC"/>
    <w:rsid w:val="00936BBB"/>
    <w:rsid w:val="00936BDE"/>
    <w:rsid w:val="00936C40"/>
    <w:rsid w:val="00936E9E"/>
    <w:rsid w:val="00937052"/>
    <w:rsid w:val="00937491"/>
    <w:rsid w:val="00937BD1"/>
    <w:rsid w:val="009401DD"/>
    <w:rsid w:val="0094035E"/>
    <w:rsid w:val="0094074C"/>
    <w:rsid w:val="00940EDE"/>
    <w:rsid w:val="00942017"/>
    <w:rsid w:val="0094205B"/>
    <w:rsid w:val="0094223A"/>
    <w:rsid w:val="0094307D"/>
    <w:rsid w:val="009435A3"/>
    <w:rsid w:val="009438DA"/>
    <w:rsid w:val="00943CDC"/>
    <w:rsid w:val="00944156"/>
    <w:rsid w:val="00944FFA"/>
    <w:rsid w:val="0094511B"/>
    <w:rsid w:val="00945305"/>
    <w:rsid w:val="00945581"/>
    <w:rsid w:val="00945662"/>
    <w:rsid w:val="00946042"/>
    <w:rsid w:val="009461EB"/>
    <w:rsid w:val="00946673"/>
    <w:rsid w:val="00946AE7"/>
    <w:rsid w:val="00947BFC"/>
    <w:rsid w:val="0095081E"/>
    <w:rsid w:val="00950C82"/>
    <w:rsid w:val="009513F7"/>
    <w:rsid w:val="0095177E"/>
    <w:rsid w:val="00951AC2"/>
    <w:rsid w:val="00951B30"/>
    <w:rsid w:val="00951DED"/>
    <w:rsid w:val="009526DC"/>
    <w:rsid w:val="00952B9A"/>
    <w:rsid w:val="009533CC"/>
    <w:rsid w:val="00953479"/>
    <w:rsid w:val="009535DD"/>
    <w:rsid w:val="009536DE"/>
    <w:rsid w:val="009537E7"/>
    <w:rsid w:val="009538AF"/>
    <w:rsid w:val="0095441F"/>
    <w:rsid w:val="00954927"/>
    <w:rsid w:val="0095530C"/>
    <w:rsid w:val="009555AC"/>
    <w:rsid w:val="00955B5D"/>
    <w:rsid w:val="00955CE3"/>
    <w:rsid w:val="00956AD4"/>
    <w:rsid w:val="00956BEF"/>
    <w:rsid w:val="00956F71"/>
    <w:rsid w:val="00960C40"/>
    <w:rsid w:val="009617A7"/>
    <w:rsid w:val="00961E5A"/>
    <w:rsid w:val="00962780"/>
    <w:rsid w:val="009628FD"/>
    <w:rsid w:val="00962D61"/>
    <w:rsid w:val="009632E9"/>
    <w:rsid w:val="0096334E"/>
    <w:rsid w:val="00963A0B"/>
    <w:rsid w:val="00963A5F"/>
    <w:rsid w:val="00963EE6"/>
    <w:rsid w:val="009641E0"/>
    <w:rsid w:val="009641F0"/>
    <w:rsid w:val="00964363"/>
    <w:rsid w:val="00964A4C"/>
    <w:rsid w:val="009651F0"/>
    <w:rsid w:val="009658F3"/>
    <w:rsid w:val="0096603A"/>
    <w:rsid w:val="00966122"/>
    <w:rsid w:val="00966AE4"/>
    <w:rsid w:val="00966C4E"/>
    <w:rsid w:val="009674AE"/>
    <w:rsid w:val="009674ED"/>
    <w:rsid w:val="009675B6"/>
    <w:rsid w:val="009676F8"/>
    <w:rsid w:val="0097040C"/>
    <w:rsid w:val="00970A4F"/>
    <w:rsid w:val="00970C50"/>
    <w:rsid w:val="009710FE"/>
    <w:rsid w:val="0097115D"/>
    <w:rsid w:val="009715A1"/>
    <w:rsid w:val="009716F8"/>
    <w:rsid w:val="00972171"/>
    <w:rsid w:val="00972526"/>
    <w:rsid w:val="00972866"/>
    <w:rsid w:val="00972CB1"/>
    <w:rsid w:val="00972F7E"/>
    <w:rsid w:val="00973928"/>
    <w:rsid w:val="00973C55"/>
    <w:rsid w:val="009747BE"/>
    <w:rsid w:val="009748A7"/>
    <w:rsid w:val="009749D7"/>
    <w:rsid w:val="00974D9D"/>
    <w:rsid w:val="00974F46"/>
    <w:rsid w:val="00975166"/>
    <w:rsid w:val="00975EE8"/>
    <w:rsid w:val="009766E9"/>
    <w:rsid w:val="00976CF2"/>
    <w:rsid w:val="00976E04"/>
    <w:rsid w:val="009773D6"/>
    <w:rsid w:val="009775FE"/>
    <w:rsid w:val="00977BFA"/>
    <w:rsid w:val="00980801"/>
    <w:rsid w:val="00980951"/>
    <w:rsid w:val="0098095E"/>
    <w:rsid w:val="00980A1F"/>
    <w:rsid w:val="00981060"/>
    <w:rsid w:val="00981741"/>
    <w:rsid w:val="00981D11"/>
    <w:rsid w:val="00981D39"/>
    <w:rsid w:val="00981E96"/>
    <w:rsid w:val="00981ED9"/>
    <w:rsid w:val="009820FA"/>
    <w:rsid w:val="00982258"/>
    <w:rsid w:val="0098269A"/>
    <w:rsid w:val="00983197"/>
    <w:rsid w:val="00983846"/>
    <w:rsid w:val="009838AD"/>
    <w:rsid w:val="00983B69"/>
    <w:rsid w:val="00983B86"/>
    <w:rsid w:val="00984137"/>
    <w:rsid w:val="00984567"/>
    <w:rsid w:val="00984937"/>
    <w:rsid w:val="00985787"/>
    <w:rsid w:val="00985922"/>
    <w:rsid w:val="009864E6"/>
    <w:rsid w:val="00986646"/>
    <w:rsid w:val="009868FC"/>
    <w:rsid w:val="00986D65"/>
    <w:rsid w:val="0098723D"/>
    <w:rsid w:val="00987D1E"/>
    <w:rsid w:val="0099011E"/>
    <w:rsid w:val="00990803"/>
    <w:rsid w:val="00990A91"/>
    <w:rsid w:val="00990D64"/>
    <w:rsid w:val="00991472"/>
    <w:rsid w:val="00991737"/>
    <w:rsid w:val="00991FE1"/>
    <w:rsid w:val="0099207C"/>
    <w:rsid w:val="00992333"/>
    <w:rsid w:val="00992773"/>
    <w:rsid w:val="0099285E"/>
    <w:rsid w:val="00992C5F"/>
    <w:rsid w:val="00993991"/>
    <w:rsid w:val="00993A36"/>
    <w:rsid w:val="0099435A"/>
    <w:rsid w:val="00995396"/>
    <w:rsid w:val="009955B8"/>
    <w:rsid w:val="009958ED"/>
    <w:rsid w:val="00996802"/>
    <w:rsid w:val="00997322"/>
    <w:rsid w:val="00997374"/>
    <w:rsid w:val="009977F2"/>
    <w:rsid w:val="00997919"/>
    <w:rsid w:val="00997F2B"/>
    <w:rsid w:val="009A035A"/>
    <w:rsid w:val="009A0C17"/>
    <w:rsid w:val="009A0F86"/>
    <w:rsid w:val="009A11CF"/>
    <w:rsid w:val="009A1C28"/>
    <w:rsid w:val="009A1F39"/>
    <w:rsid w:val="009A20C8"/>
    <w:rsid w:val="009A2300"/>
    <w:rsid w:val="009A353A"/>
    <w:rsid w:val="009A4630"/>
    <w:rsid w:val="009A48A0"/>
    <w:rsid w:val="009A4D6D"/>
    <w:rsid w:val="009A5C76"/>
    <w:rsid w:val="009A5F70"/>
    <w:rsid w:val="009A62BE"/>
    <w:rsid w:val="009A6414"/>
    <w:rsid w:val="009A6912"/>
    <w:rsid w:val="009A6A27"/>
    <w:rsid w:val="009A7666"/>
    <w:rsid w:val="009A7826"/>
    <w:rsid w:val="009A79C7"/>
    <w:rsid w:val="009A7F53"/>
    <w:rsid w:val="009B03E8"/>
    <w:rsid w:val="009B0A63"/>
    <w:rsid w:val="009B0FF7"/>
    <w:rsid w:val="009B11B6"/>
    <w:rsid w:val="009B15E9"/>
    <w:rsid w:val="009B24AD"/>
    <w:rsid w:val="009B2929"/>
    <w:rsid w:val="009B2EB0"/>
    <w:rsid w:val="009B2F55"/>
    <w:rsid w:val="009B3940"/>
    <w:rsid w:val="009B44F2"/>
    <w:rsid w:val="009B4843"/>
    <w:rsid w:val="009B52E5"/>
    <w:rsid w:val="009B5731"/>
    <w:rsid w:val="009B5815"/>
    <w:rsid w:val="009B5B6B"/>
    <w:rsid w:val="009B6850"/>
    <w:rsid w:val="009B6D85"/>
    <w:rsid w:val="009B702F"/>
    <w:rsid w:val="009B70E2"/>
    <w:rsid w:val="009B7ADA"/>
    <w:rsid w:val="009B7B39"/>
    <w:rsid w:val="009B7E86"/>
    <w:rsid w:val="009C015B"/>
    <w:rsid w:val="009C02C8"/>
    <w:rsid w:val="009C03C6"/>
    <w:rsid w:val="009C0E6C"/>
    <w:rsid w:val="009C1029"/>
    <w:rsid w:val="009C1650"/>
    <w:rsid w:val="009C2CEC"/>
    <w:rsid w:val="009C2D4A"/>
    <w:rsid w:val="009C2DDE"/>
    <w:rsid w:val="009C37A3"/>
    <w:rsid w:val="009C37E7"/>
    <w:rsid w:val="009C3BF9"/>
    <w:rsid w:val="009C4128"/>
    <w:rsid w:val="009C4233"/>
    <w:rsid w:val="009C477B"/>
    <w:rsid w:val="009C496A"/>
    <w:rsid w:val="009C563F"/>
    <w:rsid w:val="009C579C"/>
    <w:rsid w:val="009C6026"/>
    <w:rsid w:val="009C618E"/>
    <w:rsid w:val="009C6932"/>
    <w:rsid w:val="009C69A4"/>
    <w:rsid w:val="009C6A37"/>
    <w:rsid w:val="009C7623"/>
    <w:rsid w:val="009C77E2"/>
    <w:rsid w:val="009C7D59"/>
    <w:rsid w:val="009D006D"/>
    <w:rsid w:val="009D0334"/>
    <w:rsid w:val="009D12CD"/>
    <w:rsid w:val="009D1D36"/>
    <w:rsid w:val="009D1FA6"/>
    <w:rsid w:val="009D2490"/>
    <w:rsid w:val="009D25E1"/>
    <w:rsid w:val="009D2A9C"/>
    <w:rsid w:val="009D2BC8"/>
    <w:rsid w:val="009D31A0"/>
    <w:rsid w:val="009D4011"/>
    <w:rsid w:val="009D41AE"/>
    <w:rsid w:val="009D4335"/>
    <w:rsid w:val="009D4A35"/>
    <w:rsid w:val="009D50B0"/>
    <w:rsid w:val="009D50CD"/>
    <w:rsid w:val="009D585C"/>
    <w:rsid w:val="009D5BBD"/>
    <w:rsid w:val="009D5BD0"/>
    <w:rsid w:val="009D5FE3"/>
    <w:rsid w:val="009D60E2"/>
    <w:rsid w:val="009D745C"/>
    <w:rsid w:val="009D7CF2"/>
    <w:rsid w:val="009E0030"/>
    <w:rsid w:val="009E00F8"/>
    <w:rsid w:val="009E05E2"/>
    <w:rsid w:val="009E0957"/>
    <w:rsid w:val="009E0A5B"/>
    <w:rsid w:val="009E0EE8"/>
    <w:rsid w:val="009E18A7"/>
    <w:rsid w:val="009E1B9B"/>
    <w:rsid w:val="009E1CD8"/>
    <w:rsid w:val="009E2033"/>
    <w:rsid w:val="009E2299"/>
    <w:rsid w:val="009E23A8"/>
    <w:rsid w:val="009E285A"/>
    <w:rsid w:val="009E2BB7"/>
    <w:rsid w:val="009E2DC8"/>
    <w:rsid w:val="009E2F37"/>
    <w:rsid w:val="009E3154"/>
    <w:rsid w:val="009E3457"/>
    <w:rsid w:val="009E3F66"/>
    <w:rsid w:val="009E4209"/>
    <w:rsid w:val="009E4703"/>
    <w:rsid w:val="009E47E7"/>
    <w:rsid w:val="009E4AEA"/>
    <w:rsid w:val="009E4B15"/>
    <w:rsid w:val="009E4BF3"/>
    <w:rsid w:val="009E4D99"/>
    <w:rsid w:val="009E526F"/>
    <w:rsid w:val="009E55C5"/>
    <w:rsid w:val="009E5A94"/>
    <w:rsid w:val="009E5C60"/>
    <w:rsid w:val="009E5FCE"/>
    <w:rsid w:val="009E61A6"/>
    <w:rsid w:val="009E62BF"/>
    <w:rsid w:val="009E6893"/>
    <w:rsid w:val="009E68F6"/>
    <w:rsid w:val="009E6B9A"/>
    <w:rsid w:val="009E6BEE"/>
    <w:rsid w:val="009E77D2"/>
    <w:rsid w:val="009E7E04"/>
    <w:rsid w:val="009F0D92"/>
    <w:rsid w:val="009F12EB"/>
    <w:rsid w:val="009F16FB"/>
    <w:rsid w:val="009F198D"/>
    <w:rsid w:val="009F1F3B"/>
    <w:rsid w:val="009F1F8D"/>
    <w:rsid w:val="009F29AA"/>
    <w:rsid w:val="009F2D32"/>
    <w:rsid w:val="009F2D59"/>
    <w:rsid w:val="009F2D67"/>
    <w:rsid w:val="009F3956"/>
    <w:rsid w:val="009F3C07"/>
    <w:rsid w:val="009F4149"/>
    <w:rsid w:val="009F479D"/>
    <w:rsid w:val="009F484D"/>
    <w:rsid w:val="009F48B9"/>
    <w:rsid w:val="009F4D1F"/>
    <w:rsid w:val="009F5165"/>
    <w:rsid w:val="009F5AB1"/>
    <w:rsid w:val="009F6025"/>
    <w:rsid w:val="009F609F"/>
    <w:rsid w:val="009F64DA"/>
    <w:rsid w:val="009F69A4"/>
    <w:rsid w:val="009F6DD1"/>
    <w:rsid w:val="009F7F71"/>
    <w:rsid w:val="00A005FD"/>
    <w:rsid w:val="00A0061C"/>
    <w:rsid w:val="00A00D52"/>
    <w:rsid w:val="00A00F2D"/>
    <w:rsid w:val="00A0109A"/>
    <w:rsid w:val="00A01193"/>
    <w:rsid w:val="00A01273"/>
    <w:rsid w:val="00A01E58"/>
    <w:rsid w:val="00A01F53"/>
    <w:rsid w:val="00A020DA"/>
    <w:rsid w:val="00A024D2"/>
    <w:rsid w:val="00A0264B"/>
    <w:rsid w:val="00A0280F"/>
    <w:rsid w:val="00A028B8"/>
    <w:rsid w:val="00A03DC0"/>
    <w:rsid w:val="00A03E77"/>
    <w:rsid w:val="00A0439D"/>
    <w:rsid w:val="00A049C4"/>
    <w:rsid w:val="00A04B03"/>
    <w:rsid w:val="00A04B22"/>
    <w:rsid w:val="00A04E55"/>
    <w:rsid w:val="00A05581"/>
    <w:rsid w:val="00A0594F"/>
    <w:rsid w:val="00A05A6A"/>
    <w:rsid w:val="00A061DC"/>
    <w:rsid w:val="00A0623C"/>
    <w:rsid w:val="00A06BCC"/>
    <w:rsid w:val="00A06CD0"/>
    <w:rsid w:val="00A06F62"/>
    <w:rsid w:val="00A10184"/>
    <w:rsid w:val="00A1020E"/>
    <w:rsid w:val="00A102DC"/>
    <w:rsid w:val="00A105ED"/>
    <w:rsid w:val="00A10E4E"/>
    <w:rsid w:val="00A1144C"/>
    <w:rsid w:val="00A11E06"/>
    <w:rsid w:val="00A11FA6"/>
    <w:rsid w:val="00A11FE3"/>
    <w:rsid w:val="00A12572"/>
    <w:rsid w:val="00A127E3"/>
    <w:rsid w:val="00A127FC"/>
    <w:rsid w:val="00A1371C"/>
    <w:rsid w:val="00A144D0"/>
    <w:rsid w:val="00A15C25"/>
    <w:rsid w:val="00A160F4"/>
    <w:rsid w:val="00A16959"/>
    <w:rsid w:val="00A17267"/>
    <w:rsid w:val="00A172B0"/>
    <w:rsid w:val="00A172C7"/>
    <w:rsid w:val="00A174C4"/>
    <w:rsid w:val="00A178F5"/>
    <w:rsid w:val="00A200E4"/>
    <w:rsid w:val="00A202E7"/>
    <w:rsid w:val="00A20DA3"/>
    <w:rsid w:val="00A20E0F"/>
    <w:rsid w:val="00A20E93"/>
    <w:rsid w:val="00A21F97"/>
    <w:rsid w:val="00A229D6"/>
    <w:rsid w:val="00A22DD3"/>
    <w:rsid w:val="00A22E62"/>
    <w:rsid w:val="00A22F69"/>
    <w:rsid w:val="00A235B0"/>
    <w:rsid w:val="00A23601"/>
    <w:rsid w:val="00A239B0"/>
    <w:rsid w:val="00A246B5"/>
    <w:rsid w:val="00A24BCB"/>
    <w:rsid w:val="00A24C0A"/>
    <w:rsid w:val="00A24F98"/>
    <w:rsid w:val="00A2546A"/>
    <w:rsid w:val="00A258FE"/>
    <w:rsid w:val="00A26679"/>
    <w:rsid w:val="00A2678C"/>
    <w:rsid w:val="00A27228"/>
    <w:rsid w:val="00A275EF"/>
    <w:rsid w:val="00A2762C"/>
    <w:rsid w:val="00A277CC"/>
    <w:rsid w:val="00A27B02"/>
    <w:rsid w:val="00A27E4B"/>
    <w:rsid w:val="00A300DD"/>
    <w:rsid w:val="00A301D6"/>
    <w:rsid w:val="00A30942"/>
    <w:rsid w:val="00A30C2E"/>
    <w:rsid w:val="00A30F61"/>
    <w:rsid w:val="00A3106A"/>
    <w:rsid w:val="00A31E8E"/>
    <w:rsid w:val="00A32777"/>
    <w:rsid w:val="00A32CE2"/>
    <w:rsid w:val="00A32D9C"/>
    <w:rsid w:val="00A3365E"/>
    <w:rsid w:val="00A33926"/>
    <w:rsid w:val="00A349A2"/>
    <w:rsid w:val="00A34DD1"/>
    <w:rsid w:val="00A34E76"/>
    <w:rsid w:val="00A35213"/>
    <w:rsid w:val="00A35890"/>
    <w:rsid w:val="00A36163"/>
    <w:rsid w:val="00A36A36"/>
    <w:rsid w:val="00A36B76"/>
    <w:rsid w:val="00A370BD"/>
    <w:rsid w:val="00A3717F"/>
    <w:rsid w:val="00A371B0"/>
    <w:rsid w:val="00A4001C"/>
    <w:rsid w:val="00A40946"/>
    <w:rsid w:val="00A41395"/>
    <w:rsid w:val="00A419A0"/>
    <w:rsid w:val="00A41A9E"/>
    <w:rsid w:val="00A429D2"/>
    <w:rsid w:val="00A42CC3"/>
    <w:rsid w:val="00A433F9"/>
    <w:rsid w:val="00A434E6"/>
    <w:rsid w:val="00A439EA"/>
    <w:rsid w:val="00A43D3D"/>
    <w:rsid w:val="00A446A8"/>
    <w:rsid w:val="00A4493F"/>
    <w:rsid w:val="00A449CC"/>
    <w:rsid w:val="00A45142"/>
    <w:rsid w:val="00A45342"/>
    <w:rsid w:val="00A45CBD"/>
    <w:rsid w:val="00A462D6"/>
    <w:rsid w:val="00A468B7"/>
    <w:rsid w:val="00A46A28"/>
    <w:rsid w:val="00A46C52"/>
    <w:rsid w:val="00A47E08"/>
    <w:rsid w:val="00A50077"/>
    <w:rsid w:val="00A50873"/>
    <w:rsid w:val="00A51973"/>
    <w:rsid w:val="00A51A43"/>
    <w:rsid w:val="00A521D1"/>
    <w:rsid w:val="00A523B4"/>
    <w:rsid w:val="00A52B0B"/>
    <w:rsid w:val="00A5326E"/>
    <w:rsid w:val="00A54BFB"/>
    <w:rsid w:val="00A5503A"/>
    <w:rsid w:val="00A55505"/>
    <w:rsid w:val="00A5550D"/>
    <w:rsid w:val="00A55522"/>
    <w:rsid w:val="00A55544"/>
    <w:rsid w:val="00A5583D"/>
    <w:rsid w:val="00A5589C"/>
    <w:rsid w:val="00A55EDB"/>
    <w:rsid w:val="00A565B0"/>
    <w:rsid w:val="00A569AD"/>
    <w:rsid w:val="00A56C01"/>
    <w:rsid w:val="00A57AF8"/>
    <w:rsid w:val="00A57CCA"/>
    <w:rsid w:val="00A602C0"/>
    <w:rsid w:val="00A60448"/>
    <w:rsid w:val="00A6073F"/>
    <w:rsid w:val="00A60989"/>
    <w:rsid w:val="00A60E83"/>
    <w:rsid w:val="00A615D0"/>
    <w:rsid w:val="00A61B2C"/>
    <w:rsid w:val="00A61B5B"/>
    <w:rsid w:val="00A61D23"/>
    <w:rsid w:val="00A621CA"/>
    <w:rsid w:val="00A62B81"/>
    <w:rsid w:val="00A636DD"/>
    <w:rsid w:val="00A637E1"/>
    <w:rsid w:val="00A63965"/>
    <w:rsid w:val="00A63BA7"/>
    <w:rsid w:val="00A63D3C"/>
    <w:rsid w:val="00A64036"/>
    <w:rsid w:val="00A64A32"/>
    <w:rsid w:val="00A64D6B"/>
    <w:rsid w:val="00A65132"/>
    <w:rsid w:val="00A6517C"/>
    <w:rsid w:val="00A65543"/>
    <w:rsid w:val="00A65596"/>
    <w:rsid w:val="00A655B6"/>
    <w:rsid w:val="00A655D5"/>
    <w:rsid w:val="00A6562F"/>
    <w:rsid w:val="00A6581E"/>
    <w:rsid w:val="00A65FE2"/>
    <w:rsid w:val="00A6676F"/>
    <w:rsid w:val="00A66847"/>
    <w:rsid w:val="00A66BB5"/>
    <w:rsid w:val="00A6742C"/>
    <w:rsid w:val="00A677D2"/>
    <w:rsid w:val="00A67E1F"/>
    <w:rsid w:val="00A70302"/>
    <w:rsid w:val="00A7082C"/>
    <w:rsid w:val="00A70F20"/>
    <w:rsid w:val="00A7123C"/>
    <w:rsid w:val="00A712F1"/>
    <w:rsid w:val="00A7156D"/>
    <w:rsid w:val="00A71C84"/>
    <w:rsid w:val="00A7228E"/>
    <w:rsid w:val="00A72B9B"/>
    <w:rsid w:val="00A72CEE"/>
    <w:rsid w:val="00A7336E"/>
    <w:rsid w:val="00A73516"/>
    <w:rsid w:val="00A74952"/>
    <w:rsid w:val="00A75480"/>
    <w:rsid w:val="00A765F6"/>
    <w:rsid w:val="00A76768"/>
    <w:rsid w:val="00A767FB"/>
    <w:rsid w:val="00A76DCF"/>
    <w:rsid w:val="00A7723A"/>
    <w:rsid w:val="00A77437"/>
    <w:rsid w:val="00A7778E"/>
    <w:rsid w:val="00A778CE"/>
    <w:rsid w:val="00A802B8"/>
    <w:rsid w:val="00A803E1"/>
    <w:rsid w:val="00A80559"/>
    <w:rsid w:val="00A80704"/>
    <w:rsid w:val="00A80C53"/>
    <w:rsid w:val="00A80C83"/>
    <w:rsid w:val="00A80CCC"/>
    <w:rsid w:val="00A812F0"/>
    <w:rsid w:val="00A81808"/>
    <w:rsid w:val="00A81885"/>
    <w:rsid w:val="00A81DEC"/>
    <w:rsid w:val="00A821CD"/>
    <w:rsid w:val="00A82A7C"/>
    <w:rsid w:val="00A82BE6"/>
    <w:rsid w:val="00A82BF5"/>
    <w:rsid w:val="00A82E7C"/>
    <w:rsid w:val="00A838F0"/>
    <w:rsid w:val="00A839CB"/>
    <w:rsid w:val="00A84C0C"/>
    <w:rsid w:val="00A84E7F"/>
    <w:rsid w:val="00A85592"/>
    <w:rsid w:val="00A85656"/>
    <w:rsid w:val="00A856FD"/>
    <w:rsid w:val="00A85B58"/>
    <w:rsid w:val="00A85CC6"/>
    <w:rsid w:val="00A8623E"/>
    <w:rsid w:val="00A86E60"/>
    <w:rsid w:val="00A87CA8"/>
    <w:rsid w:val="00A904B7"/>
    <w:rsid w:val="00A90912"/>
    <w:rsid w:val="00A910EC"/>
    <w:rsid w:val="00A911D5"/>
    <w:rsid w:val="00A91465"/>
    <w:rsid w:val="00A91D89"/>
    <w:rsid w:val="00A932BA"/>
    <w:rsid w:val="00A939B2"/>
    <w:rsid w:val="00A93A0D"/>
    <w:rsid w:val="00A93A46"/>
    <w:rsid w:val="00A93B3D"/>
    <w:rsid w:val="00A9462C"/>
    <w:rsid w:val="00A94F4A"/>
    <w:rsid w:val="00A951BA"/>
    <w:rsid w:val="00A95750"/>
    <w:rsid w:val="00A9592A"/>
    <w:rsid w:val="00A95A5B"/>
    <w:rsid w:val="00A95E28"/>
    <w:rsid w:val="00A9690E"/>
    <w:rsid w:val="00A969F2"/>
    <w:rsid w:val="00A96CDC"/>
    <w:rsid w:val="00A96D43"/>
    <w:rsid w:val="00A9731F"/>
    <w:rsid w:val="00A97B9D"/>
    <w:rsid w:val="00AA023D"/>
    <w:rsid w:val="00AA03AC"/>
    <w:rsid w:val="00AA0431"/>
    <w:rsid w:val="00AA051F"/>
    <w:rsid w:val="00AA0552"/>
    <w:rsid w:val="00AA14A9"/>
    <w:rsid w:val="00AA195C"/>
    <w:rsid w:val="00AA19AF"/>
    <w:rsid w:val="00AA1A76"/>
    <w:rsid w:val="00AA1F4E"/>
    <w:rsid w:val="00AA2031"/>
    <w:rsid w:val="00AA23E0"/>
    <w:rsid w:val="00AA3587"/>
    <w:rsid w:val="00AA36E0"/>
    <w:rsid w:val="00AA3F3A"/>
    <w:rsid w:val="00AA40D4"/>
    <w:rsid w:val="00AA427E"/>
    <w:rsid w:val="00AA4404"/>
    <w:rsid w:val="00AA45CE"/>
    <w:rsid w:val="00AA534D"/>
    <w:rsid w:val="00AA56F9"/>
    <w:rsid w:val="00AA5772"/>
    <w:rsid w:val="00AA5B5F"/>
    <w:rsid w:val="00AA6070"/>
    <w:rsid w:val="00AA607D"/>
    <w:rsid w:val="00AA6525"/>
    <w:rsid w:val="00AA6619"/>
    <w:rsid w:val="00AA6A46"/>
    <w:rsid w:val="00AA6ED4"/>
    <w:rsid w:val="00AA7040"/>
    <w:rsid w:val="00AA7067"/>
    <w:rsid w:val="00AA7615"/>
    <w:rsid w:val="00AA78DF"/>
    <w:rsid w:val="00AA7A09"/>
    <w:rsid w:val="00AA7C2E"/>
    <w:rsid w:val="00AA7DB1"/>
    <w:rsid w:val="00AA7E85"/>
    <w:rsid w:val="00AB060B"/>
    <w:rsid w:val="00AB0C49"/>
    <w:rsid w:val="00AB20A5"/>
    <w:rsid w:val="00AB280B"/>
    <w:rsid w:val="00AB28C2"/>
    <w:rsid w:val="00AB313D"/>
    <w:rsid w:val="00AB395C"/>
    <w:rsid w:val="00AB3F8A"/>
    <w:rsid w:val="00AB4068"/>
    <w:rsid w:val="00AB42F8"/>
    <w:rsid w:val="00AB46C0"/>
    <w:rsid w:val="00AB4E54"/>
    <w:rsid w:val="00AB4E9F"/>
    <w:rsid w:val="00AB507F"/>
    <w:rsid w:val="00AB524E"/>
    <w:rsid w:val="00AB5D12"/>
    <w:rsid w:val="00AB6354"/>
    <w:rsid w:val="00AB6870"/>
    <w:rsid w:val="00AB68AD"/>
    <w:rsid w:val="00AB72BA"/>
    <w:rsid w:val="00AB736E"/>
    <w:rsid w:val="00AB7374"/>
    <w:rsid w:val="00AB76DA"/>
    <w:rsid w:val="00AC08E9"/>
    <w:rsid w:val="00AC2247"/>
    <w:rsid w:val="00AC3104"/>
    <w:rsid w:val="00AC35EE"/>
    <w:rsid w:val="00AC38B6"/>
    <w:rsid w:val="00AC3A33"/>
    <w:rsid w:val="00AC40A0"/>
    <w:rsid w:val="00AC419B"/>
    <w:rsid w:val="00AC4982"/>
    <w:rsid w:val="00AC4D33"/>
    <w:rsid w:val="00AC560B"/>
    <w:rsid w:val="00AC5DEF"/>
    <w:rsid w:val="00AC5E7F"/>
    <w:rsid w:val="00AC61D2"/>
    <w:rsid w:val="00AC74E2"/>
    <w:rsid w:val="00AC7557"/>
    <w:rsid w:val="00AC77F7"/>
    <w:rsid w:val="00AD03E6"/>
    <w:rsid w:val="00AD0414"/>
    <w:rsid w:val="00AD0BEE"/>
    <w:rsid w:val="00AD1322"/>
    <w:rsid w:val="00AD13DE"/>
    <w:rsid w:val="00AD1619"/>
    <w:rsid w:val="00AD1818"/>
    <w:rsid w:val="00AD1983"/>
    <w:rsid w:val="00AD1BF5"/>
    <w:rsid w:val="00AD2344"/>
    <w:rsid w:val="00AD2D4B"/>
    <w:rsid w:val="00AD3347"/>
    <w:rsid w:val="00AD355F"/>
    <w:rsid w:val="00AD484C"/>
    <w:rsid w:val="00AD4BC6"/>
    <w:rsid w:val="00AD5094"/>
    <w:rsid w:val="00AD538A"/>
    <w:rsid w:val="00AD5444"/>
    <w:rsid w:val="00AD5BCE"/>
    <w:rsid w:val="00AD5F64"/>
    <w:rsid w:val="00AD60B1"/>
    <w:rsid w:val="00AD6595"/>
    <w:rsid w:val="00AD6823"/>
    <w:rsid w:val="00AD68A0"/>
    <w:rsid w:val="00AD6B16"/>
    <w:rsid w:val="00AD74E4"/>
    <w:rsid w:val="00AD793D"/>
    <w:rsid w:val="00AD7A19"/>
    <w:rsid w:val="00AE07D0"/>
    <w:rsid w:val="00AE086D"/>
    <w:rsid w:val="00AE1853"/>
    <w:rsid w:val="00AE1C11"/>
    <w:rsid w:val="00AE1CCE"/>
    <w:rsid w:val="00AE1CDE"/>
    <w:rsid w:val="00AE255B"/>
    <w:rsid w:val="00AE2BFA"/>
    <w:rsid w:val="00AE2DC7"/>
    <w:rsid w:val="00AE2DF6"/>
    <w:rsid w:val="00AE329F"/>
    <w:rsid w:val="00AE4BFA"/>
    <w:rsid w:val="00AE4F67"/>
    <w:rsid w:val="00AE5040"/>
    <w:rsid w:val="00AE5817"/>
    <w:rsid w:val="00AE5E85"/>
    <w:rsid w:val="00AE64E2"/>
    <w:rsid w:val="00AE69E1"/>
    <w:rsid w:val="00AE6A9F"/>
    <w:rsid w:val="00AE767E"/>
    <w:rsid w:val="00AF18B3"/>
    <w:rsid w:val="00AF1C9C"/>
    <w:rsid w:val="00AF1E1D"/>
    <w:rsid w:val="00AF1FD9"/>
    <w:rsid w:val="00AF289C"/>
    <w:rsid w:val="00AF33DE"/>
    <w:rsid w:val="00AF341B"/>
    <w:rsid w:val="00AF3730"/>
    <w:rsid w:val="00AF3AA5"/>
    <w:rsid w:val="00AF4E11"/>
    <w:rsid w:val="00AF4FC6"/>
    <w:rsid w:val="00AF51CA"/>
    <w:rsid w:val="00AF5815"/>
    <w:rsid w:val="00AF5910"/>
    <w:rsid w:val="00AF5C83"/>
    <w:rsid w:val="00AF5F75"/>
    <w:rsid w:val="00AF6678"/>
    <w:rsid w:val="00AF68C2"/>
    <w:rsid w:val="00AF74A0"/>
    <w:rsid w:val="00AF7520"/>
    <w:rsid w:val="00AF7571"/>
    <w:rsid w:val="00AF7766"/>
    <w:rsid w:val="00AF7BAB"/>
    <w:rsid w:val="00B00B8D"/>
    <w:rsid w:val="00B00F3E"/>
    <w:rsid w:val="00B015D0"/>
    <w:rsid w:val="00B0202C"/>
    <w:rsid w:val="00B02290"/>
    <w:rsid w:val="00B025CD"/>
    <w:rsid w:val="00B02925"/>
    <w:rsid w:val="00B02A57"/>
    <w:rsid w:val="00B0347E"/>
    <w:rsid w:val="00B03680"/>
    <w:rsid w:val="00B03812"/>
    <w:rsid w:val="00B039AE"/>
    <w:rsid w:val="00B04B22"/>
    <w:rsid w:val="00B05AC7"/>
    <w:rsid w:val="00B05F90"/>
    <w:rsid w:val="00B0669D"/>
    <w:rsid w:val="00B066F2"/>
    <w:rsid w:val="00B06721"/>
    <w:rsid w:val="00B068D5"/>
    <w:rsid w:val="00B06CBC"/>
    <w:rsid w:val="00B06E17"/>
    <w:rsid w:val="00B06E3F"/>
    <w:rsid w:val="00B0729F"/>
    <w:rsid w:val="00B07775"/>
    <w:rsid w:val="00B07C73"/>
    <w:rsid w:val="00B07CD2"/>
    <w:rsid w:val="00B11398"/>
    <w:rsid w:val="00B1176F"/>
    <w:rsid w:val="00B1180A"/>
    <w:rsid w:val="00B11992"/>
    <w:rsid w:val="00B11C06"/>
    <w:rsid w:val="00B12467"/>
    <w:rsid w:val="00B125BA"/>
    <w:rsid w:val="00B1353C"/>
    <w:rsid w:val="00B13605"/>
    <w:rsid w:val="00B14684"/>
    <w:rsid w:val="00B1473D"/>
    <w:rsid w:val="00B14940"/>
    <w:rsid w:val="00B14E85"/>
    <w:rsid w:val="00B15069"/>
    <w:rsid w:val="00B15078"/>
    <w:rsid w:val="00B1557D"/>
    <w:rsid w:val="00B15587"/>
    <w:rsid w:val="00B15BC7"/>
    <w:rsid w:val="00B15D14"/>
    <w:rsid w:val="00B16464"/>
    <w:rsid w:val="00B1714C"/>
    <w:rsid w:val="00B17FB0"/>
    <w:rsid w:val="00B20AD8"/>
    <w:rsid w:val="00B211AA"/>
    <w:rsid w:val="00B217DF"/>
    <w:rsid w:val="00B21838"/>
    <w:rsid w:val="00B219BE"/>
    <w:rsid w:val="00B219C4"/>
    <w:rsid w:val="00B21C39"/>
    <w:rsid w:val="00B21E19"/>
    <w:rsid w:val="00B22272"/>
    <w:rsid w:val="00B22526"/>
    <w:rsid w:val="00B22B61"/>
    <w:rsid w:val="00B22D97"/>
    <w:rsid w:val="00B23EDA"/>
    <w:rsid w:val="00B24118"/>
    <w:rsid w:val="00B246D0"/>
    <w:rsid w:val="00B249DB"/>
    <w:rsid w:val="00B24D8E"/>
    <w:rsid w:val="00B24EE8"/>
    <w:rsid w:val="00B250CA"/>
    <w:rsid w:val="00B25481"/>
    <w:rsid w:val="00B25D55"/>
    <w:rsid w:val="00B25F52"/>
    <w:rsid w:val="00B266E9"/>
    <w:rsid w:val="00B26A15"/>
    <w:rsid w:val="00B26E45"/>
    <w:rsid w:val="00B26EBD"/>
    <w:rsid w:val="00B27965"/>
    <w:rsid w:val="00B27995"/>
    <w:rsid w:val="00B27C0F"/>
    <w:rsid w:val="00B27E04"/>
    <w:rsid w:val="00B3017B"/>
    <w:rsid w:val="00B302CD"/>
    <w:rsid w:val="00B30A53"/>
    <w:rsid w:val="00B3155E"/>
    <w:rsid w:val="00B31596"/>
    <w:rsid w:val="00B315CF"/>
    <w:rsid w:val="00B31BA6"/>
    <w:rsid w:val="00B32421"/>
    <w:rsid w:val="00B32884"/>
    <w:rsid w:val="00B32B2A"/>
    <w:rsid w:val="00B33069"/>
    <w:rsid w:val="00B33BC4"/>
    <w:rsid w:val="00B33EF2"/>
    <w:rsid w:val="00B3414E"/>
    <w:rsid w:val="00B343E2"/>
    <w:rsid w:val="00B34446"/>
    <w:rsid w:val="00B34B22"/>
    <w:rsid w:val="00B35630"/>
    <w:rsid w:val="00B35FEF"/>
    <w:rsid w:val="00B36345"/>
    <w:rsid w:val="00B36AB5"/>
    <w:rsid w:val="00B37179"/>
    <w:rsid w:val="00B376F7"/>
    <w:rsid w:val="00B37A26"/>
    <w:rsid w:val="00B37C58"/>
    <w:rsid w:val="00B37FCB"/>
    <w:rsid w:val="00B4028F"/>
    <w:rsid w:val="00B40D38"/>
    <w:rsid w:val="00B414BC"/>
    <w:rsid w:val="00B417F8"/>
    <w:rsid w:val="00B428AB"/>
    <w:rsid w:val="00B43B88"/>
    <w:rsid w:val="00B43C05"/>
    <w:rsid w:val="00B44019"/>
    <w:rsid w:val="00B4474B"/>
    <w:rsid w:val="00B448BD"/>
    <w:rsid w:val="00B44938"/>
    <w:rsid w:val="00B44B17"/>
    <w:rsid w:val="00B45A7E"/>
    <w:rsid w:val="00B45ABA"/>
    <w:rsid w:val="00B45F6D"/>
    <w:rsid w:val="00B463BC"/>
    <w:rsid w:val="00B466EC"/>
    <w:rsid w:val="00B46F0C"/>
    <w:rsid w:val="00B47094"/>
    <w:rsid w:val="00B47729"/>
    <w:rsid w:val="00B477CF"/>
    <w:rsid w:val="00B478F2"/>
    <w:rsid w:val="00B47C24"/>
    <w:rsid w:val="00B47EA6"/>
    <w:rsid w:val="00B506D6"/>
    <w:rsid w:val="00B51D67"/>
    <w:rsid w:val="00B51E78"/>
    <w:rsid w:val="00B520FF"/>
    <w:rsid w:val="00B523FE"/>
    <w:rsid w:val="00B53091"/>
    <w:rsid w:val="00B5349E"/>
    <w:rsid w:val="00B54C42"/>
    <w:rsid w:val="00B54FDF"/>
    <w:rsid w:val="00B55922"/>
    <w:rsid w:val="00B55A7A"/>
    <w:rsid w:val="00B55D11"/>
    <w:rsid w:val="00B564BC"/>
    <w:rsid w:val="00B5670A"/>
    <w:rsid w:val="00B606CE"/>
    <w:rsid w:val="00B60DA8"/>
    <w:rsid w:val="00B61AFF"/>
    <w:rsid w:val="00B644A8"/>
    <w:rsid w:val="00B645E7"/>
    <w:rsid w:val="00B648D3"/>
    <w:rsid w:val="00B649FA"/>
    <w:rsid w:val="00B64D4C"/>
    <w:rsid w:val="00B64F64"/>
    <w:rsid w:val="00B65BC0"/>
    <w:rsid w:val="00B66500"/>
    <w:rsid w:val="00B66C81"/>
    <w:rsid w:val="00B66E41"/>
    <w:rsid w:val="00B66F0E"/>
    <w:rsid w:val="00B67127"/>
    <w:rsid w:val="00B677C3"/>
    <w:rsid w:val="00B677E4"/>
    <w:rsid w:val="00B67AED"/>
    <w:rsid w:val="00B67F19"/>
    <w:rsid w:val="00B7078F"/>
    <w:rsid w:val="00B70C24"/>
    <w:rsid w:val="00B70F00"/>
    <w:rsid w:val="00B71999"/>
    <w:rsid w:val="00B71AF8"/>
    <w:rsid w:val="00B725B1"/>
    <w:rsid w:val="00B7281F"/>
    <w:rsid w:val="00B72BD2"/>
    <w:rsid w:val="00B72C1D"/>
    <w:rsid w:val="00B72D4E"/>
    <w:rsid w:val="00B739F2"/>
    <w:rsid w:val="00B73D02"/>
    <w:rsid w:val="00B74F00"/>
    <w:rsid w:val="00B75283"/>
    <w:rsid w:val="00B75477"/>
    <w:rsid w:val="00B75F24"/>
    <w:rsid w:val="00B75F66"/>
    <w:rsid w:val="00B76079"/>
    <w:rsid w:val="00B770D7"/>
    <w:rsid w:val="00B77231"/>
    <w:rsid w:val="00B77C62"/>
    <w:rsid w:val="00B77DDF"/>
    <w:rsid w:val="00B801B5"/>
    <w:rsid w:val="00B80508"/>
    <w:rsid w:val="00B80798"/>
    <w:rsid w:val="00B80A15"/>
    <w:rsid w:val="00B81324"/>
    <w:rsid w:val="00B8173B"/>
    <w:rsid w:val="00B817B8"/>
    <w:rsid w:val="00B81971"/>
    <w:rsid w:val="00B81CA2"/>
    <w:rsid w:val="00B81CBD"/>
    <w:rsid w:val="00B81D72"/>
    <w:rsid w:val="00B81FCD"/>
    <w:rsid w:val="00B822E5"/>
    <w:rsid w:val="00B82424"/>
    <w:rsid w:val="00B836FC"/>
    <w:rsid w:val="00B83F1F"/>
    <w:rsid w:val="00B84F8F"/>
    <w:rsid w:val="00B867C4"/>
    <w:rsid w:val="00B86997"/>
    <w:rsid w:val="00B86A43"/>
    <w:rsid w:val="00B86B1C"/>
    <w:rsid w:val="00B871F9"/>
    <w:rsid w:val="00B87292"/>
    <w:rsid w:val="00B87F4E"/>
    <w:rsid w:val="00B902BA"/>
    <w:rsid w:val="00B904F1"/>
    <w:rsid w:val="00B90671"/>
    <w:rsid w:val="00B90F14"/>
    <w:rsid w:val="00B9115E"/>
    <w:rsid w:val="00B9119F"/>
    <w:rsid w:val="00B91E6A"/>
    <w:rsid w:val="00B91FD6"/>
    <w:rsid w:val="00B92075"/>
    <w:rsid w:val="00B92B76"/>
    <w:rsid w:val="00B92C61"/>
    <w:rsid w:val="00B92D43"/>
    <w:rsid w:val="00B930AD"/>
    <w:rsid w:val="00B930CF"/>
    <w:rsid w:val="00B93467"/>
    <w:rsid w:val="00B93E79"/>
    <w:rsid w:val="00B93E8B"/>
    <w:rsid w:val="00B94E24"/>
    <w:rsid w:val="00B94E8C"/>
    <w:rsid w:val="00B95463"/>
    <w:rsid w:val="00B95778"/>
    <w:rsid w:val="00B95A8B"/>
    <w:rsid w:val="00B95E21"/>
    <w:rsid w:val="00B96041"/>
    <w:rsid w:val="00B96143"/>
    <w:rsid w:val="00B96383"/>
    <w:rsid w:val="00B963F9"/>
    <w:rsid w:val="00B967A7"/>
    <w:rsid w:val="00B96CD8"/>
    <w:rsid w:val="00B96F74"/>
    <w:rsid w:val="00B975C3"/>
    <w:rsid w:val="00B97DA8"/>
    <w:rsid w:val="00BA0AA8"/>
    <w:rsid w:val="00BA1B88"/>
    <w:rsid w:val="00BA1B9C"/>
    <w:rsid w:val="00BA21B5"/>
    <w:rsid w:val="00BA2245"/>
    <w:rsid w:val="00BA2442"/>
    <w:rsid w:val="00BA379C"/>
    <w:rsid w:val="00BA3C53"/>
    <w:rsid w:val="00BA4202"/>
    <w:rsid w:val="00BA4B98"/>
    <w:rsid w:val="00BA4DA2"/>
    <w:rsid w:val="00BA53F1"/>
    <w:rsid w:val="00BA5EFF"/>
    <w:rsid w:val="00BA6102"/>
    <w:rsid w:val="00BA620B"/>
    <w:rsid w:val="00BA637E"/>
    <w:rsid w:val="00BA64F0"/>
    <w:rsid w:val="00BA6B7E"/>
    <w:rsid w:val="00BA7381"/>
    <w:rsid w:val="00BA73BB"/>
    <w:rsid w:val="00BA76B4"/>
    <w:rsid w:val="00BA776C"/>
    <w:rsid w:val="00BA7E86"/>
    <w:rsid w:val="00BA7EE9"/>
    <w:rsid w:val="00BA7F8A"/>
    <w:rsid w:val="00BB04EA"/>
    <w:rsid w:val="00BB05D1"/>
    <w:rsid w:val="00BB1995"/>
    <w:rsid w:val="00BB1AA2"/>
    <w:rsid w:val="00BB1E2D"/>
    <w:rsid w:val="00BB218A"/>
    <w:rsid w:val="00BB2768"/>
    <w:rsid w:val="00BB29E5"/>
    <w:rsid w:val="00BB2C20"/>
    <w:rsid w:val="00BB3B48"/>
    <w:rsid w:val="00BB4575"/>
    <w:rsid w:val="00BB4589"/>
    <w:rsid w:val="00BB4DE8"/>
    <w:rsid w:val="00BB4EC7"/>
    <w:rsid w:val="00BB52AC"/>
    <w:rsid w:val="00BB52B3"/>
    <w:rsid w:val="00BB595A"/>
    <w:rsid w:val="00BB60AC"/>
    <w:rsid w:val="00BB6830"/>
    <w:rsid w:val="00BB688C"/>
    <w:rsid w:val="00BB6B9E"/>
    <w:rsid w:val="00BB6F2D"/>
    <w:rsid w:val="00BB7705"/>
    <w:rsid w:val="00BB7B7B"/>
    <w:rsid w:val="00BC09F2"/>
    <w:rsid w:val="00BC0BDD"/>
    <w:rsid w:val="00BC14C2"/>
    <w:rsid w:val="00BC1E31"/>
    <w:rsid w:val="00BC1F01"/>
    <w:rsid w:val="00BC202E"/>
    <w:rsid w:val="00BC22CD"/>
    <w:rsid w:val="00BC2384"/>
    <w:rsid w:val="00BC241C"/>
    <w:rsid w:val="00BC26EF"/>
    <w:rsid w:val="00BC2901"/>
    <w:rsid w:val="00BC2A75"/>
    <w:rsid w:val="00BC2CF1"/>
    <w:rsid w:val="00BC3617"/>
    <w:rsid w:val="00BC3B9F"/>
    <w:rsid w:val="00BC4ACA"/>
    <w:rsid w:val="00BC5844"/>
    <w:rsid w:val="00BC5BAE"/>
    <w:rsid w:val="00BC5CDB"/>
    <w:rsid w:val="00BC5F1E"/>
    <w:rsid w:val="00BC62D9"/>
    <w:rsid w:val="00BC644C"/>
    <w:rsid w:val="00BC6BB4"/>
    <w:rsid w:val="00BC7798"/>
    <w:rsid w:val="00BC7A78"/>
    <w:rsid w:val="00BD0B68"/>
    <w:rsid w:val="00BD141A"/>
    <w:rsid w:val="00BD24EC"/>
    <w:rsid w:val="00BD2AB3"/>
    <w:rsid w:val="00BD3C7F"/>
    <w:rsid w:val="00BD40C3"/>
    <w:rsid w:val="00BD414F"/>
    <w:rsid w:val="00BD4446"/>
    <w:rsid w:val="00BD4A4D"/>
    <w:rsid w:val="00BD4C68"/>
    <w:rsid w:val="00BD533F"/>
    <w:rsid w:val="00BD54A3"/>
    <w:rsid w:val="00BD5CDC"/>
    <w:rsid w:val="00BD5F33"/>
    <w:rsid w:val="00BD6A3D"/>
    <w:rsid w:val="00BD6B31"/>
    <w:rsid w:val="00BD6BCE"/>
    <w:rsid w:val="00BD6EC3"/>
    <w:rsid w:val="00BD75FD"/>
    <w:rsid w:val="00BD7A6E"/>
    <w:rsid w:val="00BE092D"/>
    <w:rsid w:val="00BE0AD5"/>
    <w:rsid w:val="00BE0DEC"/>
    <w:rsid w:val="00BE0E5F"/>
    <w:rsid w:val="00BE0F0B"/>
    <w:rsid w:val="00BE15A0"/>
    <w:rsid w:val="00BE1AD2"/>
    <w:rsid w:val="00BE1BDD"/>
    <w:rsid w:val="00BE1D56"/>
    <w:rsid w:val="00BE21AD"/>
    <w:rsid w:val="00BE2661"/>
    <w:rsid w:val="00BE29C0"/>
    <w:rsid w:val="00BE2C6A"/>
    <w:rsid w:val="00BE2D6F"/>
    <w:rsid w:val="00BE31AE"/>
    <w:rsid w:val="00BE37F8"/>
    <w:rsid w:val="00BE4036"/>
    <w:rsid w:val="00BE44B0"/>
    <w:rsid w:val="00BE4BA6"/>
    <w:rsid w:val="00BE4F3F"/>
    <w:rsid w:val="00BE5609"/>
    <w:rsid w:val="00BE5802"/>
    <w:rsid w:val="00BE5913"/>
    <w:rsid w:val="00BE615C"/>
    <w:rsid w:val="00BE6353"/>
    <w:rsid w:val="00BE651C"/>
    <w:rsid w:val="00BE6B62"/>
    <w:rsid w:val="00BE6C04"/>
    <w:rsid w:val="00BE6EE4"/>
    <w:rsid w:val="00BE7035"/>
    <w:rsid w:val="00BE720C"/>
    <w:rsid w:val="00BE7BF4"/>
    <w:rsid w:val="00BE7BFF"/>
    <w:rsid w:val="00BE7FF1"/>
    <w:rsid w:val="00BF0A7B"/>
    <w:rsid w:val="00BF1A9B"/>
    <w:rsid w:val="00BF2E5D"/>
    <w:rsid w:val="00BF30FA"/>
    <w:rsid w:val="00BF3162"/>
    <w:rsid w:val="00BF3C25"/>
    <w:rsid w:val="00BF3D3F"/>
    <w:rsid w:val="00BF3DE9"/>
    <w:rsid w:val="00BF6E95"/>
    <w:rsid w:val="00BF7099"/>
    <w:rsid w:val="00BF730C"/>
    <w:rsid w:val="00BF79A1"/>
    <w:rsid w:val="00BF7BDE"/>
    <w:rsid w:val="00BF7E19"/>
    <w:rsid w:val="00C0028D"/>
    <w:rsid w:val="00C0046F"/>
    <w:rsid w:val="00C00D3D"/>
    <w:rsid w:val="00C00D7D"/>
    <w:rsid w:val="00C00DB6"/>
    <w:rsid w:val="00C011D2"/>
    <w:rsid w:val="00C01247"/>
    <w:rsid w:val="00C012BB"/>
    <w:rsid w:val="00C014B2"/>
    <w:rsid w:val="00C01E25"/>
    <w:rsid w:val="00C02489"/>
    <w:rsid w:val="00C02C35"/>
    <w:rsid w:val="00C046A5"/>
    <w:rsid w:val="00C0489B"/>
    <w:rsid w:val="00C04FD2"/>
    <w:rsid w:val="00C052E6"/>
    <w:rsid w:val="00C05471"/>
    <w:rsid w:val="00C05A38"/>
    <w:rsid w:val="00C05ECB"/>
    <w:rsid w:val="00C06CAD"/>
    <w:rsid w:val="00C06D05"/>
    <w:rsid w:val="00C07651"/>
    <w:rsid w:val="00C07D22"/>
    <w:rsid w:val="00C07E6B"/>
    <w:rsid w:val="00C1017D"/>
    <w:rsid w:val="00C10607"/>
    <w:rsid w:val="00C10CDB"/>
    <w:rsid w:val="00C11228"/>
    <w:rsid w:val="00C1162E"/>
    <w:rsid w:val="00C1168A"/>
    <w:rsid w:val="00C11AF5"/>
    <w:rsid w:val="00C11E47"/>
    <w:rsid w:val="00C11E63"/>
    <w:rsid w:val="00C120B6"/>
    <w:rsid w:val="00C12599"/>
    <w:rsid w:val="00C126BC"/>
    <w:rsid w:val="00C12BD0"/>
    <w:rsid w:val="00C12FF6"/>
    <w:rsid w:val="00C13168"/>
    <w:rsid w:val="00C132CE"/>
    <w:rsid w:val="00C13B2E"/>
    <w:rsid w:val="00C1506E"/>
    <w:rsid w:val="00C15FDF"/>
    <w:rsid w:val="00C1713A"/>
    <w:rsid w:val="00C171CA"/>
    <w:rsid w:val="00C17516"/>
    <w:rsid w:val="00C176BF"/>
    <w:rsid w:val="00C17792"/>
    <w:rsid w:val="00C17995"/>
    <w:rsid w:val="00C17BEA"/>
    <w:rsid w:val="00C17C73"/>
    <w:rsid w:val="00C20014"/>
    <w:rsid w:val="00C20563"/>
    <w:rsid w:val="00C20BF2"/>
    <w:rsid w:val="00C20CCE"/>
    <w:rsid w:val="00C20D69"/>
    <w:rsid w:val="00C21713"/>
    <w:rsid w:val="00C21B0A"/>
    <w:rsid w:val="00C21D1B"/>
    <w:rsid w:val="00C21DDC"/>
    <w:rsid w:val="00C21DE2"/>
    <w:rsid w:val="00C2277E"/>
    <w:rsid w:val="00C230BD"/>
    <w:rsid w:val="00C239C0"/>
    <w:rsid w:val="00C23C5A"/>
    <w:rsid w:val="00C23CB9"/>
    <w:rsid w:val="00C24239"/>
    <w:rsid w:val="00C245B0"/>
    <w:rsid w:val="00C24C24"/>
    <w:rsid w:val="00C24ECC"/>
    <w:rsid w:val="00C252A9"/>
    <w:rsid w:val="00C25ECC"/>
    <w:rsid w:val="00C261CC"/>
    <w:rsid w:val="00C2633B"/>
    <w:rsid w:val="00C2649C"/>
    <w:rsid w:val="00C27100"/>
    <w:rsid w:val="00C27F35"/>
    <w:rsid w:val="00C30245"/>
    <w:rsid w:val="00C30DB3"/>
    <w:rsid w:val="00C31C25"/>
    <w:rsid w:val="00C31C7E"/>
    <w:rsid w:val="00C31D3D"/>
    <w:rsid w:val="00C32183"/>
    <w:rsid w:val="00C323C5"/>
    <w:rsid w:val="00C32EBC"/>
    <w:rsid w:val="00C33460"/>
    <w:rsid w:val="00C3349B"/>
    <w:rsid w:val="00C33660"/>
    <w:rsid w:val="00C339F1"/>
    <w:rsid w:val="00C33C67"/>
    <w:rsid w:val="00C33DBA"/>
    <w:rsid w:val="00C343C9"/>
    <w:rsid w:val="00C34737"/>
    <w:rsid w:val="00C34FED"/>
    <w:rsid w:val="00C351AF"/>
    <w:rsid w:val="00C3533C"/>
    <w:rsid w:val="00C354F0"/>
    <w:rsid w:val="00C3557D"/>
    <w:rsid w:val="00C3585B"/>
    <w:rsid w:val="00C35C39"/>
    <w:rsid w:val="00C36045"/>
    <w:rsid w:val="00C360DA"/>
    <w:rsid w:val="00C36723"/>
    <w:rsid w:val="00C367AD"/>
    <w:rsid w:val="00C369D4"/>
    <w:rsid w:val="00C36CA5"/>
    <w:rsid w:val="00C36D58"/>
    <w:rsid w:val="00C37012"/>
    <w:rsid w:val="00C372A2"/>
    <w:rsid w:val="00C3768A"/>
    <w:rsid w:val="00C37BD3"/>
    <w:rsid w:val="00C4005A"/>
    <w:rsid w:val="00C40172"/>
    <w:rsid w:val="00C406AD"/>
    <w:rsid w:val="00C40B39"/>
    <w:rsid w:val="00C40CB2"/>
    <w:rsid w:val="00C40D86"/>
    <w:rsid w:val="00C414D0"/>
    <w:rsid w:val="00C41503"/>
    <w:rsid w:val="00C41AAD"/>
    <w:rsid w:val="00C420BA"/>
    <w:rsid w:val="00C433F1"/>
    <w:rsid w:val="00C43893"/>
    <w:rsid w:val="00C43E4C"/>
    <w:rsid w:val="00C440C5"/>
    <w:rsid w:val="00C4487B"/>
    <w:rsid w:val="00C44A3C"/>
    <w:rsid w:val="00C44FCF"/>
    <w:rsid w:val="00C4509E"/>
    <w:rsid w:val="00C4572B"/>
    <w:rsid w:val="00C45FDE"/>
    <w:rsid w:val="00C468C4"/>
    <w:rsid w:val="00C46984"/>
    <w:rsid w:val="00C46D95"/>
    <w:rsid w:val="00C46F97"/>
    <w:rsid w:val="00C4779D"/>
    <w:rsid w:val="00C5026C"/>
    <w:rsid w:val="00C50614"/>
    <w:rsid w:val="00C507EE"/>
    <w:rsid w:val="00C50B29"/>
    <w:rsid w:val="00C51273"/>
    <w:rsid w:val="00C51751"/>
    <w:rsid w:val="00C519F1"/>
    <w:rsid w:val="00C52075"/>
    <w:rsid w:val="00C5228F"/>
    <w:rsid w:val="00C52296"/>
    <w:rsid w:val="00C5255F"/>
    <w:rsid w:val="00C526BA"/>
    <w:rsid w:val="00C52B79"/>
    <w:rsid w:val="00C52BED"/>
    <w:rsid w:val="00C52C82"/>
    <w:rsid w:val="00C52E12"/>
    <w:rsid w:val="00C534DB"/>
    <w:rsid w:val="00C53756"/>
    <w:rsid w:val="00C549E1"/>
    <w:rsid w:val="00C549E7"/>
    <w:rsid w:val="00C550E2"/>
    <w:rsid w:val="00C55EC7"/>
    <w:rsid w:val="00C55EF5"/>
    <w:rsid w:val="00C55FD8"/>
    <w:rsid w:val="00C57752"/>
    <w:rsid w:val="00C57C44"/>
    <w:rsid w:val="00C60436"/>
    <w:rsid w:val="00C608DC"/>
    <w:rsid w:val="00C60AB0"/>
    <w:rsid w:val="00C61608"/>
    <w:rsid w:val="00C61645"/>
    <w:rsid w:val="00C6166A"/>
    <w:rsid w:val="00C616E3"/>
    <w:rsid w:val="00C617BE"/>
    <w:rsid w:val="00C61DE7"/>
    <w:rsid w:val="00C629FB"/>
    <w:rsid w:val="00C63423"/>
    <w:rsid w:val="00C6354A"/>
    <w:rsid w:val="00C63772"/>
    <w:rsid w:val="00C63987"/>
    <w:rsid w:val="00C63A3E"/>
    <w:rsid w:val="00C63A7B"/>
    <w:rsid w:val="00C6440B"/>
    <w:rsid w:val="00C64779"/>
    <w:rsid w:val="00C6481B"/>
    <w:rsid w:val="00C648D8"/>
    <w:rsid w:val="00C64ABC"/>
    <w:rsid w:val="00C655C3"/>
    <w:rsid w:val="00C657E7"/>
    <w:rsid w:val="00C65E00"/>
    <w:rsid w:val="00C65F45"/>
    <w:rsid w:val="00C66273"/>
    <w:rsid w:val="00C6686D"/>
    <w:rsid w:val="00C66EA9"/>
    <w:rsid w:val="00C67264"/>
    <w:rsid w:val="00C67321"/>
    <w:rsid w:val="00C7005D"/>
    <w:rsid w:val="00C70469"/>
    <w:rsid w:val="00C70DBF"/>
    <w:rsid w:val="00C712FF"/>
    <w:rsid w:val="00C7139A"/>
    <w:rsid w:val="00C713B3"/>
    <w:rsid w:val="00C71853"/>
    <w:rsid w:val="00C73349"/>
    <w:rsid w:val="00C73C47"/>
    <w:rsid w:val="00C73E12"/>
    <w:rsid w:val="00C74186"/>
    <w:rsid w:val="00C7465B"/>
    <w:rsid w:val="00C74788"/>
    <w:rsid w:val="00C74ADB"/>
    <w:rsid w:val="00C74D34"/>
    <w:rsid w:val="00C74D59"/>
    <w:rsid w:val="00C74DD8"/>
    <w:rsid w:val="00C74EC5"/>
    <w:rsid w:val="00C755A2"/>
    <w:rsid w:val="00C7561D"/>
    <w:rsid w:val="00C76392"/>
    <w:rsid w:val="00C76E72"/>
    <w:rsid w:val="00C76F1C"/>
    <w:rsid w:val="00C773A6"/>
    <w:rsid w:val="00C7742D"/>
    <w:rsid w:val="00C7788D"/>
    <w:rsid w:val="00C779B6"/>
    <w:rsid w:val="00C77C79"/>
    <w:rsid w:val="00C77FF5"/>
    <w:rsid w:val="00C80026"/>
    <w:rsid w:val="00C801DF"/>
    <w:rsid w:val="00C803AA"/>
    <w:rsid w:val="00C80B1E"/>
    <w:rsid w:val="00C8138C"/>
    <w:rsid w:val="00C81D9C"/>
    <w:rsid w:val="00C8250A"/>
    <w:rsid w:val="00C827E5"/>
    <w:rsid w:val="00C82985"/>
    <w:rsid w:val="00C837CF"/>
    <w:rsid w:val="00C83853"/>
    <w:rsid w:val="00C8426C"/>
    <w:rsid w:val="00C846A3"/>
    <w:rsid w:val="00C85327"/>
    <w:rsid w:val="00C857B8"/>
    <w:rsid w:val="00C85D60"/>
    <w:rsid w:val="00C87127"/>
    <w:rsid w:val="00C87862"/>
    <w:rsid w:val="00C87907"/>
    <w:rsid w:val="00C879F6"/>
    <w:rsid w:val="00C87E2F"/>
    <w:rsid w:val="00C87EAF"/>
    <w:rsid w:val="00C9000A"/>
    <w:rsid w:val="00C902BF"/>
    <w:rsid w:val="00C90568"/>
    <w:rsid w:val="00C909A6"/>
    <w:rsid w:val="00C90DE0"/>
    <w:rsid w:val="00C9101D"/>
    <w:rsid w:val="00C910FE"/>
    <w:rsid w:val="00C92286"/>
    <w:rsid w:val="00C92339"/>
    <w:rsid w:val="00C9271E"/>
    <w:rsid w:val="00C92C10"/>
    <w:rsid w:val="00C92EBF"/>
    <w:rsid w:val="00C93CA5"/>
    <w:rsid w:val="00C945C9"/>
    <w:rsid w:val="00C9463A"/>
    <w:rsid w:val="00C94702"/>
    <w:rsid w:val="00C9487D"/>
    <w:rsid w:val="00C94EC1"/>
    <w:rsid w:val="00C954AD"/>
    <w:rsid w:val="00C957B1"/>
    <w:rsid w:val="00C95B5C"/>
    <w:rsid w:val="00C96192"/>
    <w:rsid w:val="00C96C6C"/>
    <w:rsid w:val="00C96E93"/>
    <w:rsid w:val="00C97613"/>
    <w:rsid w:val="00C97AB7"/>
    <w:rsid w:val="00C97ACC"/>
    <w:rsid w:val="00C97E14"/>
    <w:rsid w:val="00CA0AA1"/>
    <w:rsid w:val="00CA0ACF"/>
    <w:rsid w:val="00CA0F41"/>
    <w:rsid w:val="00CA2411"/>
    <w:rsid w:val="00CA2B0F"/>
    <w:rsid w:val="00CA357A"/>
    <w:rsid w:val="00CA4250"/>
    <w:rsid w:val="00CA4315"/>
    <w:rsid w:val="00CA4F2E"/>
    <w:rsid w:val="00CA5D18"/>
    <w:rsid w:val="00CA6694"/>
    <w:rsid w:val="00CA6DAC"/>
    <w:rsid w:val="00CA6E28"/>
    <w:rsid w:val="00CA6ED4"/>
    <w:rsid w:val="00CA6F71"/>
    <w:rsid w:val="00CA702F"/>
    <w:rsid w:val="00CA75AF"/>
    <w:rsid w:val="00CA796A"/>
    <w:rsid w:val="00CA7E0F"/>
    <w:rsid w:val="00CA7F11"/>
    <w:rsid w:val="00CA7F4A"/>
    <w:rsid w:val="00CB034C"/>
    <w:rsid w:val="00CB05D8"/>
    <w:rsid w:val="00CB069D"/>
    <w:rsid w:val="00CB07EE"/>
    <w:rsid w:val="00CB14AC"/>
    <w:rsid w:val="00CB1FD4"/>
    <w:rsid w:val="00CB2279"/>
    <w:rsid w:val="00CB236F"/>
    <w:rsid w:val="00CB2396"/>
    <w:rsid w:val="00CB2CC6"/>
    <w:rsid w:val="00CB310E"/>
    <w:rsid w:val="00CB34A6"/>
    <w:rsid w:val="00CB377F"/>
    <w:rsid w:val="00CB3951"/>
    <w:rsid w:val="00CB3A38"/>
    <w:rsid w:val="00CB3CF4"/>
    <w:rsid w:val="00CB4382"/>
    <w:rsid w:val="00CB43EC"/>
    <w:rsid w:val="00CB4542"/>
    <w:rsid w:val="00CB641A"/>
    <w:rsid w:val="00CB682F"/>
    <w:rsid w:val="00CB6A1A"/>
    <w:rsid w:val="00CB6E71"/>
    <w:rsid w:val="00CB7CE9"/>
    <w:rsid w:val="00CC0142"/>
    <w:rsid w:val="00CC0356"/>
    <w:rsid w:val="00CC039F"/>
    <w:rsid w:val="00CC0449"/>
    <w:rsid w:val="00CC0ACB"/>
    <w:rsid w:val="00CC0D62"/>
    <w:rsid w:val="00CC0E4F"/>
    <w:rsid w:val="00CC117A"/>
    <w:rsid w:val="00CC1287"/>
    <w:rsid w:val="00CC17A1"/>
    <w:rsid w:val="00CC19D4"/>
    <w:rsid w:val="00CC31B6"/>
    <w:rsid w:val="00CC35A6"/>
    <w:rsid w:val="00CC4581"/>
    <w:rsid w:val="00CC4792"/>
    <w:rsid w:val="00CC4A0A"/>
    <w:rsid w:val="00CC4BB5"/>
    <w:rsid w:val="00CC50CA"/>
    <w:rsid w:val="00CC5411"/>
    <w:rsid w:val="00CC575B"/>
    <w:rsid w:val="00CC5BDC"/>
    <w:rsid w:val="00CC5F97"/>
    <w:rsid w:val="00CC64F4"/>
    <w:rsid w:val="00CC653B"/>
    <w:rsid w:val="00CC6CFB"/>
    <w:rsid w:val="00CC6E7F"/>
    <w:rsid w:val="00CC7331"/>
    <w:rsid w:val="00CC795C"/>
    <w:rsid w:val="00CD00E3"/>
    <w:rsid w:val="00CD0924"/>
    <w:rsid w:val="00CD0A29"/>
    <w:rsid w:val="00CD1092"/>
    <w:rsid w:val="00CD164A"/>
    <w:rsid w:val="00CD1DC0"/>
    <w:rsid w:val="00CD2385"/>
    <w:rsid w:val="00CD2789"/>
    <w:rsid w:val="00CD2E03"/>
    <w:rsid w:val="00CD2F9E"/>
    <w:rsid w:val="00CD30CF"/>
    <w:rsid w:val="00CD333B"/>
    <w:rsid w:val="00CD35BE"/>
    <w:rsid w:val="00CD3991"/>
    <w:rsid w:val="00CD3D79"/>
    <w:rsid w:val="00CD48DA"/>
    <w:rsid w:val="00CD5B8A"/>
    <w:rsid w:val="00CD5F50"/>
    <w:rsid w:val="00CD5F8E"/>
    <w:rsid w:val="00CD60CA"/>
    <w:rsid w:val="00CD615D"/>
    <w:rsid w:val="00CD670E"/>
    <w:rsid w:val="00CD6E3B"/>
    <w:rsid w:val="00CD703D"/>
    <w:rsid w:val="00CD73D2"/>
    <w:rsid w:val="00CD7459"/>
    <w:rsid w:val="00CD76C2"/>
    <w:rsid w:val="00CD774A"/>
    <w:rsid w:val="00CD7BE9"/>
    <w:rsid w:val="00CD7CC2"/>
    <w:rsid w:val="00CD7F17"/>
    <w:rsid w:val="00CE0085"/>
    <w:rsid w:val="00CE0195"/>
    <w:rsid w:val="00CE0497"/>
    <w:rsid w:val="00CE0600"/>
    <w:rsid w:val="00CE0839"/>
    <w:rsid w:val="00CE09CE"/>
    <w:rsid w:val="00CE0E44"/>
    <w:rsid w:val="00CE0EE0"/>
    <w:rsid w:val="00CE0F1F"/>
    <w:rsid w:val="00CE0FC0"/>
    <w:rsid w:val="00CE1642"/>
    <w:rsid w:val="00CE16CB"/>
    <w:rsid w:val="00CE28E4"/>
    <w:rsid w:val="00CE2901"/>
    <w:rsid w:val="00CE2C0F"/>
    <w:rsid w:val="00CE2C10"/>
    <w:rsid w:val="00CE36BD"/>
    <w:rsid w:val="00CE3C1A"/>
    <w:rsid w:val="00CE416D"/>
    <w:rsid w:val="00CE4287"/>
    <w:rsid w:val="00CE4BD0"/>
    <w:rsid w:val="00CE5041"/>
    <w:rsid w:val="00CE6685"/>
    <w:rsid w:val="00CE670D"/>
    <w:rsid w:val="00CE67FF"/>
    <w:rsid w:val="00CE6A5E"/>
    <w:rsid w:val="00CE6AB8"/>
    <w:rsid w:val="00CE73D1"/>
    <w:rsid w:val="00CE7F00"/>
    <w:rsid w:val="00CF06D6"/>
    <w:rsid w:val="00CF08BD"/>
    <w:rsid w:val="00CF0B58"/>
    <w:rsid w:val="00CF0DD6"/>
    <w:rsid w:val="00CF14CB"/>
    <w:rsid w:val="00CF2863"/>
    <w:rsid w:val="00CF2963"/>
    <w:rsid w:val="00CF2A00"/>
    <w:rsid w:val="00CF2C0C"/>
    <w:rsid w:val="00CF2C72"/>
    <w:rsid w:val="00CF2F48"/>
    <w:rsid w:val="00CF38DC"/>
    <w:rsid w:val="00CF41B6"/>
    <w:rsid w:val="00CF430B"/>
    <w:rsid w:val="00CF46E3"/>
    <w:rsid w:val="00CF47C9"/>
    <w:rsid w:val="00CF4C3C"/>
    <w:rsid w:val="00CF51EA"/>
    <w:rsid w:val="00CF58ED"/>
    <w:rsid w:val="00CF5C17"/>
    <w:rsid w:val="00CF5FEA"/>
    <w:rsid w:val="00CF625D"/>
    <w:rsid w:val="00CF63DE"/>
    <w:rsid w:val="00CF643E"/>
    <w:rsid w:val="00CF69F5"/>
    <w:rsid w:val="00CF716C"/>
    <w:rsid w:val="00CF7809"/>
    <w:rsid w:val="00D0008A"/>
    <w:rsid w:val="00D01190"/>
    <w:rsid w:val="00D0127F"/>
    <w:rsid w:val="00D01BA3"/>
    <w:rsid w:val="00D02129"/>
    <w:rsid w:val="00D024BE"/>
    <w:rsid w:val="00D02F65"/>
    <w:rsid w:val="00D03A28"/>
    <w:rsid w:val="00D03C0F"/>
    <w:rsid w:val="00D043EA"/>
    <w:rsid w:val="00D04640"/>
    <w:rsid w:val="00D0498F"/>
    <w:rsid w:val="00D04BE5"/>
    <w:rsid w:val="00D05E21"/>
    <w:rsid w:val="00D05E3B"/>
    <w:rsid w:val="00D062BB"/>
    <w:rsid w:val="00D067D6"/>
    <w:rsid w:val="00D06E3B"/>
    <w:rsid w:val="00D075C0"/>
    <w:rsid w:val="00D076CC"/>
    <w:rsid w:val="00D07D80"/>
    <w:rsid w:val="00D07DFA"/>
    <w:rsid w:val="00D106BC"/>
    <w:rsid w:val="00D10C0C"/>
    <w:rsid w:val="00D11449"/>
    <w:rsid w:val="00D1156C"/>
    <w:rsid w:val="00D11805"/>
    <w:rsid w:val="00D124AC"/>
    <w:rsid w:val="00D124F8"/>
    <w:rsid w:val="00D12711"/>
    <w:rsid w:val="00D12C28"/>
    <w:rsid w:val="00D12F2A"/>
    <w:rsid w:val="00D131DC"/>
    <w:rsid w:val="00D13502"/>
    <w:rsid w:val="00D13E52"/>
    <w:rsid w:val="00D14340"/>
    <w:rsid w:val="00D1499C"/>
    <w:rsid w:val="00D14BC9"/>
    <w:rsid w:val="00D14C72"/>
    <w:rsid w:val="00D1525F"/>
    <w:rsid w:val="00D15690"/>
    <w:rsid w:val="00D15974"/>
    <w:rsid w:val="00D15CC4"/>
    <w:rsid w:val="00D1646E"/>
    <w:rsid w:val="00D16D00"/>
    <w:rsid w:val="00D16EEE"/>
    <w:rsid w:val="00D16EF6"/>
    <w:rsid w:val="00D16F70"/>
    <w:rsid w:val="00D1765A"/>
    <w:rsid w:val="00D2084D"/>
    <w:rsid w:val="00D20F0A"/>
    <w:rsid w:val="00D211CE"/>
    <w:rsid w:val="00D21556"/>
    <w:rsid w:val="00D21BA7"/>
    <w:rsid w:val="00D2238E"/>
    <w:rsid w:val="00D22457"/>
    <w:rsid w:val="00D227F8"/>
    <w:rsid w:val="00D22C25"/>
    <w:rsid w:val="00D22E87"/>
    <w:rsid w:val="00D2304E"/>
    <w:rsid w:val="00D2316E"/>
    <w:rsid w:val="00D23670"/>
    <w:rsid w:val="00D23F58"/>
    <w:rsid w:val="00D24093"/>
    <w:rsid w:val="00D243C1"/>
    <w:rsid w:val="00D24667"/>
    <w:rsid w:val="00D24770"/>
    <w:rsid w:val="00D24C2F"/>
    <w:rsid w:val="00D25088"/>
    <w:rsid w:val="00D256E2"/>
    <w:rsid w:val="00D2579B"/>
    <w:rsid w:val="00D257AE"/>
    <w:rsid w:val="00D25F56"/>
    <w:rsid w:val="00D26A48"/>
    <w:rsid w:val="00D27500"/>
    <w:rsid w:val="00D27801"/>
    <w:rsid w:val="00D27913"/>
    <w:rsid w:val="00D27C76"/>
    <w:rsid w:val="00D27DEE"/>
    <w:rsid w:val="00D27FA5"/>
    <w:rsid w:val="00D300AB"/>
    <w:rsid w:val="00D30281"/>
    <w:rsid w:val="00D30995"/>
    <w:rsid w:val="00D30E65"/>
    <w:rsid w:val="00D31025"/>
    <w:rsid w:val="00D310AA"/>
    <w:rsid w:val="00D31412"/>
    <w:rsid w:val="00D3148F"/>
    <w:rsid w:val="00D31750"/>
    <w:rsid w:val="00D31C7F"/>
    <w:rsid w:val="00D31D02"/>
    <w:rsid w:val="00D32D55"/>
    <w:rsid w:val="00D3353A"/>
    <w:rsid w:val="00D33A0E"/>
    <w:rsid w:val="00D33DA0"/>
    <w:rsid w:val="00D3447D"/>
    <w:rsid w:val="00D347A6"/>
    <w:rsid w:val="00D35EEC"/>
    <w:rsid w:val="00D35F1A"/>
    <w:rsid w:val="00D362D6"/>
    <w:rsid w:val="00D36317"/>
    <w:rsid w:val="00D369B5"/>
    <w:rsid w:val="00D369E4"/>
    <w:rsid w:val="00D36A3B"/>
    <w:rsid w:val="00D37106"/>
    <w:rsid w:val="00D37721"/>
    <w:rsid w:val="00D377D5"/>
    <w:rsid w:val="00D37E8E"/>
    <w:rsid w:val="00D401D6"/>
    <w:rsid w:val="00D40C51"/>
    <w:rsid w:val="00D414B0"/>
    <w:rsid w:val="00D4157F"/>
    <w:rsid w:val="00D41582"/>
    <w:rsid w:val="00D4170E"/>
    <w:rsid w:val="00D41DD9"/>
    <w:rsid w:val="00D425A9"/>
    <w:rsid w:val="00D42651"/>
    <w:rsid w:val="00D4284C"/>
    <w:rsid w:val="00D42D9C"/>
    <w:rsid w:val="00D42FFC"/>
    <w:rsid w:val="00D43019"/>
    <w:rsid w:val="00D438A0"/>
    <w:rsid w:val="00D44001"/>
    <w:rsid w:val="00D44479"/>
    <w:rsid w:val="00D446D9"/>
    <w:rsid w:val="00D44783"/>
    <w:rsid w:val="00D44AB2"/>
    <w:rsid w:val="00D44EBD"/>
    <w:rsid w:val="00D45016"/>
    <w:rsid w:val="00D45018"/>
    <w:rsid w:val="00D45075"/>
    <w:rsid w:val="00D456C8"/>
    <w:rsid w:val="00D45E8B"/>
    <w:rsid w:val="00D4710A"/>
    <w:rsid w:val="00D477A9"/>
    <w:rsid w:val="00D502D3"/>
    <w:rsid w:val="00D50394"/>
    <w:rsid w:val="00D504BC"/>
    <w:rsid w:val="00D5073B"/>
    <w:rsid w:val="00D50B36"/>
    <w:rsid w:val="00D50CEE"/>
    <w:rsid w:val="00D51455"/>
    <w:rsid w:val="00D5173C"/>
    <w:rsid w:val="00D5206D"/>
    <w:rsid w:val="00D5226B"/>
    <w:rsid w:val="00D523B9"/>
    <w:rsid w:val="00D5248E"/>
    <w:rsid w:val="00D527D5"/>
    <w:rsid w:val="00D52880"/>
    <w:rsid w:val="00D536E8"/>
    <w:rsid w:val="00D539EA"/>
    <w:rsid w:val="00D53B4D"/>
    <w:rsid w:val="00D53D31"/>
    <w:rsid w:val="00D54064"/>
    <w:rsid w:val="00D54B5B"/>
    <w:rsid w:val="00D54C39"/>
    <w:rsid w:val="00D54E77"/>
    <w:rsid w:val="00D55589"/>
    <w:rsid w:val="00D55751"/>
    <w:rsid w:val="00D55875"/>
    <w:rsid w:val="00D55B47"/>
    <w:rsid w:val="00D55C08"/>
    <w:rsid w:val="00D5673A"/>
    <w:rsid w:val="00D57297"/>
    <w:rsid w:val="00D5793A"/>
    <w:rsid w:val="00D57EFA"/>
    <w:rsid w:val="00D601AC"/>
    <w:rsid w:val="00D601C3"/>
    <w:rsid w:val="00D60C86"/>
    <w:rsid w:val="00D61777"/>
    <w:rsid w:val="00D61C13"/>
    <w:rsid w:val="00D61C8E"/>
    <w:rsid w:val="00D6219E"/>
    <w:rsid w:val="00D6281E"/>
    <w:rsid w:val="00D62D05"/>
    <w:rsid w:val="00D62D7C"/>
    <w:rsid w:val="00D639F1"/>
    <w:rsid w:val="00D64009"/>
    <w:rsid w:val="00D64128"/>
    <w:rsid w:val="00D6457A"/>
    <w:rsid w:val="00D647D7"/>
    <w:rsid w:val="00D64EE4"/>
    <w:rsid w:val="00D652B9"/>
    <w:rsid w:val="00D65EFD"/>
    <w:rsid w:val="00D65F8C"/>
    <w:rsid w:val="00D66066"/>
    <w:rsid w:val="00D66195"/>
    <w:rsid w:val="00D66702"/>
    <w:rsid w:val="00D66CE7"/>
    <w:rsid w:val="00D67026"/>
    <w:rsid w:val="00D675C3"/>
    <w:rsid w:val="00D678D2"/>
    <w:rsid w:val="00D70445"/>
    <w:rsid w:val="00D711D4"/>
    <w:rsid w:val="00D71435"/>
    <w:rsid w:val="00D714CF"/>
    <w:rsid w:val="00D71F3F"/>
    <w:rsid w:val="00D72094"/>
    <w:rsid w:val="00D72096"/>
    <w:rsid w:val="00D7271A"/>
    <w:rsid w:val="00D729A2"/>
    <w:rsid w:val="00D72A0F"/>
    <w:rsid w:val="00D72C46"/>
    <w:rsid w:val="00D730E4"/>
    <w:rsid w:val="00D73178"/>
    <w:rsid w:val="00D73701"/>
    <w:rsid w:val="00D73711"/>
    <w:rsid w:val="00D739F0"/>
    <w:rsid w:val="00D73A76"/>
    <w:rsid w:val="00D73D5F"/>
    <w:rsid w:val="00D74665"/>
    <w:rsid w:val="00D74698"/>
    <w:rsid w:val="00D74802"/>
    <w:rsid w:val="00D74949"/>
    <w:rsid w:val="00D74DA1"/>
    <w:rsid w:val="00D75069"/>
    <w:rsid w:val="00D755A3"/>
    <w:rsid w:val="00D75A58"/>
    <w:rsid w:val="00D75A75"/>
    <w:rsid w:val="00D75ED7"/>
    <w:rsid w:val="00D76681"/>
    <w:rsid w:val="00D767BC"/>
    <w:rsid w:val="00D76F26"/>
    <w:rsid w:val="00D8026E"/>
    <w:rsid w:val="00D805BE"/>
    <w:rsid w:val="00D80CFC"/>
    <w:rsid w:val="00D80FE2"/>
    <w:rsid w:val="00D810F5"/>
    <w:rsid w:val="00D81209"/>
    <w:rsid w:val="00D81265"/>
    <w:rsid w:val="00D8152C"/>
    <w:rsid w:val="00D81616"/>
    <w:rsid w:val="00D816C2"/>
    <w:rsid w:val="00D81BEA"/>
    <w:rsid w:val="00D82944"/>
    <w:rsid w:val="00D82BEE"/>
    <w:rsid w:val="00D82F17"/>
    <w:rsid w:val="00D82F9D"/>
    <w:rsid w:val="00D83663"/>
    <w:rsid w:val="00D83811"/>
    <w:rsid w:val="00D84043"/>
    <w:rsid w:val="00D8469E"/>
    <w:rsid w:val="00D8497B"/>
    <w:rsid w:val="00D84DEB"/>
    <w:rsid w:val="00D84FB9"/>
    <w:rsid w:val="00D851F0"/>
    <w:rsid w:val="00D85351"/>
    <w:rsid w:val="00D864EA"/>
    <w:rsid w:val="00D86909"/>
    <w:rsid w:val="00D87207"/>
    <w:rsid w:val="00D9044E"/>
    <w:rsid w:val="00D91887"/>
    <w:rsid w:val="00D919FC"/>
    <w:rsid w:val="00D91A31"/>
    <w:rsid w:val="00D9294B"/>
    <w:rsid w:val="00D92CD7"/>
    <w:rsid w:val="00D9304A"/>
    <w:rsid w:val="00D93F85"/>
    <w:rsid w:val="00D941F2"/>
    <w:rsid w:val="00D942B2"/>
    <w:rsid w:val="00D94F5C"/>
    <w:rsid w:val="00D94FE4"/>
    <w:rsid w:val="00D95033"/>
    <w:rsid w:val="00D95120"/>
    <w:rsid w:val="00D958B4"/>
    <w:rsid w:val="00D9597F"/>
    <w:rsid w:val="00D95BD5"/>
    <w:rsid w:val="00D9680F"/>
    <w:rsid w:val="00D96862"/>
    <w:rsid w:val="00D968AE"/>
    <w:rsid w:val="00D969BC"/>
    <w:rsid w:val="00D96C8B"/>
    <w:rsid w:val="00D97C0D"/>
    <w:rsid w:val="00D97CD5"/>
    <w:rsid w:val="00D97CEB"/>
    <w:rsid w:val="00D97FA9"/>
    <w:rsid w:val="00DA0577"/>
    <w:rsid w:val="00DA0901"/>
    <w:rsid w:val="00DA0D15"/>
    <w:rsid w:val="00DA0E2D"/>
    <w:rsid w:val="00DA0E47"/>
    <w:rsid w:val="00DA1854"/>
    <w:rsid w:val="00DA19B0"/>
    <w:rsid w:val="00DA1C50"/>
    <w:rsid w:val="00DA1FCA"/>
    <w:rsid w:val="00DA250A"/>
    <w:rsid w:val="00DA2610"/>
    <w:rsid w:val="00DA34EC"/>
    <w:rsid w:val="00DA3F97"/>
    <w:rsid w:val="00DA41FF"/>
    <w:rsid w:val="00DA44E1"/>
    <w:rsid w:val="00DA4D92"/>
    <w:rsid w:val="00DA503B"/>
    <w:rsid w:val="00DA5093"/>
    <w:rsid w:val="00DA55CF"/>
    <w:rsid w:val="00DA58F3"/>
    <w:rsid w:val="00DA59B9"/>
    <w:rsid w:val="00DA5CE2"/>
    <w:rsid w:val="00DA5DBB"/>
    <w:rsid w:val="00DA6389"/>
    <w:rsid w:val="00DA6778"/>
    <w:rsid w:val="00DA677A"/>
    <w:rsid w:val="00DA6B94"/>
    <w:rsid w:val="00DA70FD"/>
    <w:rsid w:val="00DA7CC1"/>
    <w:rsid w:val="00DB0142"/>
    <w:rsid w:val="00DB0DDA"/>
    <w:rsid w:val="00DB1798"/>
    <w:rsid w:val="00DB23A2"/>
    <w:rsid w:val="00DB2573"/>
    <w:rsid w:val="00DB2925"/>
    <w:rsid w:val="00DB3FD7"/>
    <w:rsid w:val="00DB4000"/>
    <w:rsid w:val="00DB41B7"/>
    <w:rsid w:val="00DB536C"/>
    <w:rsid w:val="00DB5454"/>
    <w:rsid w:val="00DB55F6"/>
    <w:rsid w:val="00DB5687"/>
    <w:rsid w:val="00DB57B3"/>
    <w:rsid w:val="00DB5905"/>
    <w:rsid w:val="00DB5A07"/>
    <w:rsid w:val="00DB6025"/>
    <w:rsid w:val="00DB61A4"/>
    <w:rsid w:val="00DB6309"/>
    <w:rsid w:val="00DB6400"/>
    <w:rsid w:val="00DB6A9F"/>
    <w:rsid w:val="00DB7048"/>
    <w:rsid w:val="00DB732A"/>
    <w:rsid w:val="00DB74B4"/>
    <w:rsid w:val="00DB773B"/>
    <w:rsid w:val="00DC0493"/>
    <w:rsid w:val="00DC050D"/>
    <w:rsid w:val="00DC0E86"/>
    <w:rsid w:val="00DC132F"/>
    <w:rsid w:val="00DC1E0D"/>
    <w:rsid w:val="00DC2985"/>
    <w:rsid w:val="00DC2EB5"/>
    <w:rsid w:val="00DC36E0"/>
    <w:rsid w:val="00DC4148"/>
    <w:rsid w:val="00DC4230"/>
    <w:rsid w:val="00DC42DF"/>
    <w:rsid w:val="00DC44DB"/>
    <w:rsid w:val="00DC4A82"/>
    <w:rsid w:val="00DC632B"/>
    <w:rsid w:val="00DC6528"/>
    <w:rsid w:val="00DC709A"/>
    <w:rsid w:val="00DC733A"/>
    <w:rsid w:val="00DC76E9"/>
    <w:rsid w:val="00DC77FE"/>
    <w:rsid w:val="00DC78F0"/>
    <w:rsid w:val="00DC798E"/>
    <w:rsid w:val="00DC7B2B"/>
    <w:rsid w:val="00DD06FE"/>
    <w:rsid w:val="00DD1287"/>
    <w:rsid w:val="00DD149F"/>
    <w:rsid w:val="00DD2022"/>
    <w:rsid w:val="00DD2A5E"/>
    <w:rsid w:val="00DD2E32"/>
    <w:rsid w:val="00DD324F"/>
    <w:rsid w:val="00DD33C4"/>
    <w:rsid w:val="00DD3497"/>
    <w:rsid w:val="00DD4DA6"/>
    <w:rsid w:val="00DD548F"/>
    <w:rsid w:val="00DD54E4"/>
    <w:rsid w:val="00DD5775"/>
    <w:rsid w:val="00DD5777"/>
    <w:rsid w:val="00DD5E2E"/>
    <w:rsid w:val="00DD641D"/>
    <w:rsid w:val="00DD7EA1"/>
    <w:rsid w:val="00DD7FFE"/>
    <w:rsid w:val="00DE07DF"/>
    <w:rsid w:val="00DE08D9"/>
    <w:rsid w:val="00DE0E0D"/>
    <w:rsid w:val="00DE1209"/>
    <w:rsid w:val="00DE12B4"/>
    <w:rsid w:val="00DE130E"/>
    <w:rsid w:val="00DE1CCC"/>
    <w:rsid w:val="00DE20EE"/>
    <w:rsid w:val="00DE2282"/>
    <w:rsid w:val="00DE24BB"/>
    <w:rsid w:val="00DE2548"/>
    <w:rsid w:val="00DE33BC"/>
    <w:rsid w:val="00DE3BB5"/>
    <w:rsid w:val="00DE3D42"/>
    <w:rsid w:val="00DE3EB4"/>
    <w:rsid w:val="00DE473C"/>
    <w:rsid w:val="00DE4E5F"/>
    <w:rsid w:val="00DE72D2"/>
    <w:rsid w:val="00DE75A8"/>
    <w:rsid w:val="00DE77EC"/>
    <w:rsid w:val="00DE78DE"/>
    <w:rsid w:val="00DE7FD9"/>
    <w:rsid w:val="00DF0769"/>
    <w:rsid w:val="00DF0826"/>
    <w:rsid w:val="00DF135E"/>
    <w:rsid w:val="00DF1692"/>
    <w:rsid w:val="00DF1CBE"/>
    <w:rsid w:val="00DF2504"/>
    <w:rsid w:val="00DF3255"/>
    <w:rsid w:val="00DF36BA"/>
    <w:rsid w:val="00DF376E"/>
    <w:rsid w:val="00DF3D86"/>
    <w:rsid w:val="00DF3DF8"/>
    <w:rsid w:val="00DF48D7"/>
    <w:rsid w:val="00DF4A1A"/>
    <w:rsid w:val="00DF4A73"/>
    <w:rsid w:val="00DF4BF9"/>
    <w:rsid w:val="00DF4FD5"/>
    <w:rsid w:val="00DF53A3"/>
    <w:rsid w:val="00DF56BE"/>
    <w:rsid w:val="00DF63E3"/>
    <w:rsid w:val="00DF64A2"/>
    <w:rsid w:val="00DF6BB4"/>
    <w:rsid w:val="00DF7208"/>
    <w:rsid w:val="00DF789D"/>
    <w:rsid w:val="00DF7DF2"/>
    <w:rsid w:val="00DF7FE8"/>
    <w:rsid w:val="00E017FD"/>
    <w:rsid w:val="00E01B94"/>
    <w:rsid w:val="00E01E37"/>
    <w:rsid w:val="00E01F0A"/>
    <w:rsid w:val="00E026B6"/>
    <w:rsid w:val="00E03754"/>
    <w:rsid w:val="00E03F8D"/>
    <w:rsid w:val="00E04657"/>
    <w:rsid w:val="00E049CC"/>
    <w:rsid w:val="00E04B46"/>
    <w:rsid w:val="00E04DD5"/>
    <w:rsid w:val="00E057DD"/>
    <w:rsid w:val="00E05F9A"/>
    <w:rsid w:val="00E0606E"/>
    <w:rsid w:val="00E0610C"/>
    <w:rsid w:val="00E06126"/>
    <w:rsid w:val="00E065EC"/>
    <w:rsid w:val="00E066E5"/>
    <w:rsid w:val="00E06BEB"/>
    <w:rsid w:val="00E06FE8"/>
    <w:rsid w:val="00E0716C"/>
    <w:rsid w:val="00E07383"/>
    <w:rsid w:val="00E0740E"/>
    <w:rsid w:val="00E0784A"/>
    <w:rsid w:val="00E07A5C"/>
    <w:rsid w:val="00E07AF9"/>
    <w:rsid w:val="00E10487"/>
    <w:rsid w:val="00E105B5"/>
    <w:rsid w:val="00E109F0"/>
    <w:rsid w:val="00E10BD6"/>
    <w:rsid w:val="00E114B1"/>
    <w:rsid w:val="00E114C4"/>
    <w:rsid w:val="00E1163A"/>
    <w:rsid w:val="00E117BA"/>
    <w:rsid w:val="00E11BC7"/>
    <w:rsid w:val="00E11C80"/>
    <w:rsid w:val="00E1227C"/>
    <w:rsid w:val="00E1247B"/>
    <w:rsid w:val="00E1277C"/>
    <w:rsid w:val="00E129BD"/>
    <w:rsid w:val="00E12F88"/>
    <w:rsid w:val="00E12FED"/>
    <w:rsid w:val="00E130E7"/>
    <w:rsid w:val="00E13781"/>
    <w:rsid w:val="00E13CB4"/>
    <w:rsid w:val="00E13CCE"/>
    <w:rsid w:val="00E13CE9"/>
    <w:rsid w:val="00E140F8"/>
    <w:rsid w:val="00E14113"/>
    <w:rsid w:val="00E14231"/>
    <w:rsid w:val="00E144AD"/>
    <w:rsid w:val="00E14FB8"/>
    <w:rsid w:val="00E15285"/>
    <w:rsid w:val="00E15418"/>
    <w:rsid w:val="00E1586F"/>
    <w:rsid w:val="00E15FD4"/>
    <w:rsid w:val="00E16253"/>
    <w:rsid w:val="00E16374"/>
    <w:rsid w:val="00E1682E"/>
    <w:rsid w:val="00E16A9D"/>
    <w:rsid w:val="00E1748E"/>
    <w:rsid w:val="00E17525"/>
    <w:rsid w:val="00E17BB3"/>
    <w:rsid w:val="00E17DB8"/>
    <w:rsid w:val="00E17F7C"/>
    <w:rsid w:val="00E20120"/>
    <w:rsid w:val="00E202A4"/>
    <w:rsid w:val="00E2033B"/>
    <w:rsid w:val="00E2036E"/>
    <w:rsid w:val="00E204C6"/>
    <w:rsid w:val="00E209DA"/>
    <w:rsid w:val="00E20C29"/>
    <w:rsid w:val="00E20CA5"/>
    <w:rsid w:val="00E21312"/>
    <w:rsid w:val="00E213C9"/>
    <w:rsid w:val="00E21523"/>
    <w:rsid w:val="00E2187E"/>
    <w:rsid w:val="00E220C8"/>
    <w:rsid w:val="00E22376"/>
    <w:rsid w:val="00E22BB4"/>
    <w:rsid w:val="00E237A9"/>
    <w:rsid w:val="00E249DA"/>
    <w:rsid w:val="00E24BAC"/>
    <w:rsid w:val="00E251C9"/>
    <w:rsid w:val="00E2579B"/>
    <w:rsid w:val="00E25CBB"/>
    <w:rsid w:val="00E26404"/>
    <w:rsid w:val="00E26973"/>
    <w:rsid w:val="00E274F7"/>
    <w:rsid w:val="00E2783D"/>
    <w:rsid w:val="00E27863"/>
    <w:rsid w:val="00E27ADB"/>
    <w:rsid w:val="00E27D9A"/>
    <w:rsid w:val="00E300C0"/>
    <w:rsid w:val="00E30B66"/>
    <w:rsid w:val="00E30BE2"/>
    <w:rsid w:val="00E31584"/>
    <w:rsid w:val="00E3188B"/>
    <w:rsid w:val="00E319B8"/>
    <w:rsid w:val="00E31FC2"/>
    <w:rsid w:val="00E327E9"/>
    <w:rsid w:val="00E32C25"/>
    <w:rsid w:val="00E33530"/>
    <w:rsid w:val="00E33877"/>
    <w:rsid w:val="00E33A3F"/>
    <w:rsid w:val="00E33B3F"/>
    <w:rsid w:val="00E351B9"/>
    <w:rsid w:val="00E35203"/>
    <w:rsid w:val="00E35253"/>
    <w:rsid w:val="00E3533A"/>
    <w:rsid w:val="00E3556A"/>
    <w:rsid w:val="00E35A99"/>
    <w:rsid w:val="00E35DC2"/>
    <w:rsid w:val="00E36111"/>
    <w:rsid w:val="00E36513"/>
    <w:rsid w:val="00E372F4"/>
    <w:rsid w:val="00E374C0"/>
    <w:rsid w:val="00E37586"/>
    <w:rsid w:val="00E3789D"/>
    <w:rsid w:val="00E40A85"/>
    <w:rsid w:val="00E40DFA"/>
    <w:rsid w:val="00E40F32"/>
    <w:rsid w:val="00E4115D"/>
    <w:rsid w:val="00E41266"/>
    <w:rsid w:val="00E412BD"/>
    <w:rsid w:val="00E41304"/>
    <w:rsid w:val="00E414B5"/>
    <w:rsid w:val="00E41604"/>
    <w:rsid w:val="00E41A6B"/>
    <w:rsid w:val="00E4209B"/>
    <w:rsid w:val="00E42408"/>
    <w:rsid w:val="00E429F6"/>
    <w:rsid w:val="00E42D99"/>
    <w:rsid w:val="00E4317A"/>
    <w:rsid w:val="00E4336C"/>
    <w:rsid w:val="00E4343C"/>
    <w:rsid w:val="00E438D8"/>
    <w:rsid w:val="00E4539F"/>
    <w:rsid w:val="00E45563"/>
    <w:rsid w:val="00E4597B"/>
    <w:rsid w:val="00E45A6E"/>
    <w:rsid w:val="00E45FDC"/>
    <w:rsid w:val="00E45FEE"/>
    <w:rsid w:val="00E466F0"/>
    <w:rsid w:val="00E46886"/>
    <w:rsid w:val="00E46A66"/>
    <w:rsid w:val="00E4717E"/>
    <w:rsid w:val="00E471ED"/>
    <w:rsid w:val="00E47986"/>
    <w:rsid w:val="00E519B1"/>
    <w:rsid w:val="00E51CE7"/>
    <w:rsid w:val="00E524D3"/>
    <w:rsid w:val="00E5286F"/>
    <w:rsid w:val="00E52F1C"/>
    <w:rsid w:val="00E53656"/>
    <w:rsid w:val="00E543D8"/>
    <w:rsid w:val="00E5472E"/>
    <w:rsid w:val="00E54D4C"/>
    <w:rsid w:val="00E55121"/>
    <w:rsid w:val="00E552FD"/>
    <w:rsid w:val="00E55D0B"/>
    <w:rsid w:val="00E56221"/>
    <w:rsid w:val="00E578DE"/>
    <w:rsid w:val="00E57AAC"/>
    <w:rsid w:val="00E603E8"/>
    <w:rsid w:val="00E60528"/>
    <w:rsid w:val="00E605C5"/>
    <w:rsid w:val="00E60B9F"/>
    <w:rsid w:val="00E61C62"/>
    <w:rsid w:val="00E61D10"/>
    <w:rsid w:val="00E61F45"/>
    <w:rsid w:val="00E61FAB"/>
    <w:rsid w:val="00E62228"/>
    <w:rsid w:val="00E6224C"/>
    <w:rsid w:val="00E6270D"/>
    <w:rsid w:val="00E62FDD"/>
    <w:rsid w:val="00E630AA"/>
    <w:rsid w:val="00E63245"/>
    <w:rsid w:val="00E63271"/>
    <w:rsid w:val="00E63749"/>
    <w:rsid w:val="00E637C6"/>
    <w:rsid w:val="00E63809"/>
    <w:rsid w:val="00E63FEC"/>
    <w:rsid w:val="00E6426D"/>
    <w:rsid w:val="00E64A2B"/>
    <w:rsid w:val="00E65A4A"/>
    <w:rsid w:val="00E65BB8"/>
    <w:rsid w:val="00E673C9"/>
    <w:rsid w:val="00E6762B"/>
    <w:rsid w:val="00E67895"/>
    <w:rsid w:val="00E67DE3"/>
    <w:rsid w:val="00E70547"/>
    <w:rsid w:val="00E70607"/>
    <w:rsid w:val="00E70685"/>
    <w:rsid w:val="00E70BF1"/>
    <w:rsid w:val="00E71069"/>
    <w:rsid w:val="00E71132"/>
    <w:rsid w:val="00E7183D"/>
    <w:rsid w:val="00E718AD"/>
    <w:rsid w:val="00E72410"/>
    <w:rsid w:val="00E72A77"/>
    <w:rsid w:val="00E73301"/>
    <w:rsid w:val="00E73307"/>
    <w:rsid w:val="00E7373D"/>
    <w:rsid w:val="00E739D4"/>
    <w:rsid w:val="00E74449"/>
    <w:rsid w:val="00E74E2D"/>
    <w:rsid w:val="00E7518C"/>
    <w:rsid w:val="00E757AF"/>
    <w:rsid w:val="00E75C3A"/>
    <w:rsid w:val="00E75D66"/>
    <w:rsid w:val="00E762C9"/>
    <w:rsid w:val="00E763EC"/>
    <w:rsid w:val="00E76893"/>
    <w:rsid w:val="00E768D8"/>
    <w:rsid w:val="00E770EE"/>
    <w:rsid w:val="00E776E1"/>
    <w:rsid w:val="00E77AD5"/>
    <w:rsid w:val="00E77BAF"/>
    <w:rsid w:val="00E77E5A"/>
    <w:rsid w:val="00E77FD6"/>
    <w:rsid w:val="00E8033E"/>
    <w:rsid w:val="00E803C0"/>
    <w:rsid w:val="00E80C80"/>
    <w:rsid w:val="00E81331"/>
    <w:rsid w:val="00E8173B"/>
    <w:rsid w:val="00E819A9"/>
    <w:rsid w:val="00E81E0F"/>
    <w:rsid w:val="00E820CC"/>
    <w:rsid w:val="00E82255"/>
    <w:rsid w:val="00E825F9"/>
    <w:rsid w:val="00E8263D"/>
    <w:rsid w:val="00E83836"/>
    <w:rsid w:val="00E84562"/>
    <w:rsid w:val="00E84EFB"/>
    <w:rsid w:val="00E8512B"/>
    <w:rsid w:val="00E8549A"/>
    <w:rsid w:val="00E854E7"/>
    <w:rsid w:val="00E86204"/>
    <w:rsid w:val="00E86738"/>
    <w:rsid w:val="00E867CC"/>
    <w:rsid w:val="00E86C7B"/>
    <w:rsid w:val="00E86F39"/>
    <w:rsid w:val="00E86FFC"/>
    <w:rsid w:val="00E87731"/>
    <w:rsid w:val="00E87B54"/>
    <w:rsid w:val="00E903A1"/>
    <w:rsid w:val="00E91157"/>
    <w:rsid w:val="00E91298"/>
    <w:rsid w:val="00E91997"/>
    <w:rsid w:val="00E91B43"/>
    <w:rsid w:val="00E923BC"/>
    <w:rsid w:val="00E92CBA"/>
    <w:rsid w:val="00E933A2"/>
    <w:rsid w:val="00E93819"/>
    <w:rsid w:val="00E943DF"/>
    <w:rsid w:val="00E94620"/>
    <w:rsid w:val="00E9471B"/>
    <w:rsid w:val="00E949E1"/>
    <w:rsid w:val="00E94B28"/>
    <w:rsid w:val="00E94B36"/>
    <w:rsid w:val="00E94BE2"/>
    <w:rsid w:val="00E95A4C"/>
    <w:rsid w:val="00E95AB1"/>
    <w:rsid w:val="00E961D8"/>
    <w:rsid w:val="00E967FC"/>
    <w:rsid w:val="00E96B08"/>
    <w:rsid w:val="00E96E5E"/>
    <w:rsid w:val="00E9726B"/>
    <w:rsid w:val="00E97354"/>
    <w:rsid w:val="00E97689"/>
    <w:rsid w:val="00E97A85"/>
    <w:rsid w:val="00E97B90"/>
    <w:rsid w:val="00EA0521"/>
    <w:rsid w:val="00EA0C90"/>
    <w:rsid w:val="00EA0D47"/>
    <w:rsid w:val="00EA11EE"/>
    <w:rsid w:val="00EA15D9"/>
    <w:rsid w:val="00EA1961"/>
    <w:rsid w:val="00EA1AAE"/>
    <w:rsid w:val="00EA1BF8"/>
    <w:rsid w:val="00EA22EA"/>
    <w:rsid w:val="00EA2588"/>
    <w:rsid w:val="00EA2896"/>
    <w:rsid w:val="00EA31D0"/>
    <w:rsid w:val="00EA32FA"/>
    <w:rsid w:val="00EA3416"/>
    <w:rsid w:val="00EA4079"/>
    <w:rsid w:val="00EA4201"/>
    <w:rsid w:val="00EA43AC"/>
    <w:rsid w:val="00EA5925"/>
    <w:rsid w:val="00EA5E20"/>
    <w:rsid w:val="00EA6071"/>
    <w:rsid w:val="00EA64C6"/>
    <w:rsid w:val="00EA762C"/>
    <w:rsid w:val="00EA7D67"/>
    <w:rsid w:val="00EB00D8"/>
    <w:rsid w:val="00EB0748"/>
    <w:rsid w:val="00EB082D"/>
    <w:rsid w:val="00EB0B83"/>
    <w:rsid w:val="00EB0EB6"/>
    <w:rsid w:val="00EB1178"/>
    <w:rsid w:val="00EB23E1"/>
    <w:rsid w:val="00EB3278"/>
    <w:rsid w:val="00EB3D31"/>
    <w:rsid w:val="00EB3F9B"/>
    <w:rsid w:val="00EB4723"/>
    <w:rsid w:val="00EB4D26"/>
    <w:rsid w:val="00EB4D46"/>
    <w:rsid w:val="00EB5E62"/>
    <w:rsid w:val="00EB7A0F"/>
    <w:rsid w:val="00EB7E79"/>
    <w:rsid w:val="00EC00F4"/>
    <w:rsid w:val="00EC0298"/>
    <w:rsid w:val="00EC0354"/>
    <w:rsid w:val="00EC1E27"/>
    <w:rsid w:val="00EC22CB"/>
    <w:rsid w:val="00EC2E82"/>
    <w:rsid w:val="00EC30BE"/>
    <w:rsid w:val="00EC3155"/>
    <w:rsid w:val="00EC379E"/>
    <w:rsid w:val="00EC435E"/>
    <w:rsid w:val="00EC4363"/>
    <w:rsid w:val="00EC44CE"/>
    <w:rsid w:val="00EC4A4A"/>
    <w:rsid w:val="00EC4C48"/>
    <w:rsid w:val="00EC4D9E"/>
    <w:rsid w:val="00EC4DDE"/>
    <w:rsid w:val="00EC56BC"/>
    <w:rsid w:val="00EC5A5E"/>
    <w:rsid w:val="00EC5AD1"/>
    <w:rsid w:val="00EC62D4"/>
    <w:rsid w:val="00EC6538"/>
    <w:rsid w:val="00EC67BF"/>
    <w:rsid w:val="00EC6E68"/>
    <w:rsid w:val="00EC720A"/>
    <w:rsid w:val="00EC7694"/>
    <w:rsid w:val="00EC7C73"/>
    <w:rsid w:val="00ED1903"/>
    <w:rsid w:val="00ED1E8C"/>
    <w:rsid w:val="00ED211A"/>
    <w:rsid w:val="00ED216C"/>
    <w:rsid w:val="00ED237F"/>
    <w:rsid w:val="00ED2504"/>
    <w:rsid w:val="00ED2DD3"/>
    <w:rsid w:val="00ED2EDE"/>
    <w:rsid w:val="00ED2F00"/>
    <w:rsid w:val="00ED2FB4"/>
    <w:rsid w:val="00ED33ED"/>
    <w:rsid w:val="00ED351B"/>
    <w:rsid w:val="00ED3582"/>
    <w:rsid w:val="00ED3776"/>
    <w:rsid w:val="00ED3777"/>
    <w:rsid w:val="00ED388D"/>
    <w:rsid w:val="00ED3B3D"/>
    <w:rsid w:val="00ED3DC1"/>
    <w:rsid w:val="00ED3FB6"/>
    <w:rsid w:val="00ED4394"/>
    <w:rsid w:val="00ED468B"/>
    <w:rsid w:val="00ED4C3D"/>
    <w:rsid w:val="00ED5F91"/>
    <w:rsid w:val="00ED68A1"/>
    <w:rsid w:val="00ED6EB5"/>
    <w:rsid w:val="00ED7842"/>
    <w:rsid w:val="00ED7876"/>
    <w:rsid w:val="00ED7B62"/>
    <w:rsid w:val="00ED7D22"/>
    <w:rsid w:val="00EE15DA"/>
    <w:rsid w:val="00EE17DD"/>
    <w:rsid w:val="00EE198D"/>
    <w:rsid w:val="00EE27D6"/>
    <w:rsid w:val="00EE285D"/>
    <w:rsid w:val="00EE290A"/>
    <w:rsid w:val="00EE4212"/>
    <w:rsid w:val="00EE58D6"/>
    <w:rsid w:val="00EE5C34"/>
    <w:rsid w:val="00EE5FFC"/>
    <w:rsid w:val="00EE6D72"/>
    <w:rsid w:val="00EE7380"/>
    <w:rsid w:val="00EE76D1"/>
    <w:rsid w:val="00EE76E7"/>
    <w:rsid w:val="00EE77F0"/>
    <w:rsid w:val="00EE7CDF"/>
    <w:rsid w:val="00EE7F97"/>
    <w:rsid w:val="00EF0136"/>
    <w:rsid w:val="00EF091E"/>
    <w:rsid w:val="00EF094C"/>
    <w:rsid w:val="00EF099E"/>
    <w:rsid w:val="00EF1878"/>
    <w:rsid w:val="00EF1B08"/>
    <w:rsid w:val="00EF2446"/>
    <w:rsid w:val="00EF2774"/>
    <w:rsid w:val="00EF2A1D"/>
    <w:rsid w:val="00EF2C75"/>
    <w:rsid w:val="00EF303B"/>
    <w:rsid w:val="00EF35DF"/>
    <w:rsid w:val="00EF402D"/>
    <w:rsid w:val="00EF40F5"/>
    <w:rsid w:val="00EF432A"/>
    <w:rsid w:val="00EF446E"/>
    <w:rsid w:val="00EF4A87"/>
    <w:rsid w:val="00EF4DFA"/>
    <w:rsid w:val="00EF4E25"/>
    <w:rsid w:val="00EF5AC3"/>
    <w:rsid w:val="00EF5CE9"/>
    <w:rsid w:val="00EF5DC3"/>
    <w:rsid w:val="00EF5E7E"/>
    <w:rsid w:val="00EF65BA"/>
    <w:rsid w:val="00EF6650"/>
    <w:rsid w:val="00EF66BF"/>
    <w:rsid w:val="00EF6AE3"/>
    <w:rsid w:val="00EF7389"/>
    <w:rsid w:val="00EF7CA6"/>
    <w:rsid w:val="00EF7F4F"/>
    <w:rsid w:val="00F00FE2"/>
    <w:rsid w:val="00F010EF"/>
    <w:rsid w:val="00F0155F"/>
    <w:rsid w:val="00F01F6F"/>
    <w:rsid w:val="00F02045"/>
    <w:rsid w:val="00F027BE"/>
    <w:rsid w:val="00F028FD"/>
    <w:rsid w:val="00F02D89"/>
    <w:rsid w:val="00F03E09"/>
    <w:rsid w:val="00F04687"/>
    <w:rsid w:val="00F04D68"/>
    <w:rsid w:val="00F05216"/>
    <w:rsid w:val="00F055B5"/>
    <w:rsid w:val="00F05855"/>
    <w:rsid w:val="00F06064"/>
    <w:rsid w:val="00F06105"/>
    <w:rsid w:val="00F06517"/>
    <w:rsid w:val="00F06B38"/>
    <w:rsid w:val="00F06FE0"/>
    <w:rsid w:val="00F0711F"/>
    <w:rsid w:val="00F07538"/>
    <w:rsid w:val="00F105A0"/>
    <w:rsid w:val="00F11049"/>
    <w:rsid w:val="00F11244"/>
    <w:rsid w:val="00F1148A"/>
    <w:rsid w:val="00F116DE"/>
    <w:rsid w:val="00F11CCD"/>
    <w:rsid w:val="00F126A2"/>
    <w:rsid w:val="00F12B97"/>
    <w:rsid w:val="00F13903"/>
    <w:rsid w:val="00F139A6"/>
    <w:rsid w:val="00F14819"/>
    <w:rsid w:val="00F14E1E"/>
    <w:rsid w:val="00F14F08"/>
    <w:rsid w:val="00F14F71"/>
    <w:rsid w:val="00F155FD"/>
    <w:rsid w:val="00F15821"/>
    <w:rsid w:val="00F15A6F"/>
    <w:rsid w:val="00F15B20"/>
    <w:rsid w:val="00F15D79"/>
    <w:rsid w:val="00F16111"/>
    <w:rsid w:val="00F163B2"/>
    <w:rsid w:val="00F16674"/>
    <w:rsid w:val="00F1709F"/>
    <w:rsid w:val="00F17694"/>
    <w:rsid w:val="00F20096"/>
    <w:rsid w:val="00F202E5"/>
    <w:rsid w:val="00F2088F"/>
    <w:rsid w:val="00F20C6B"/>
    <w:rsid w:val="00F20D43"/>
    <w:rsid w:val="00F212F9"/>
    <w:rsid w:val="00F213E3"/>
    <w:rsid w:val="00F21825"/>
    <w:rsid w:val="00F21C18"/>
    <w:rsid w:val="00F2227D"/>
    <w:rsid w:val="00F22AFD"/>
    <w:rsid w:val="00F230C0"/>
    <w:rsid w:val="00F230D6"/>
    <w:rsid w:val="00F232D6"/>
    <w:rsid w:val="00F23F45"/>
    <w:rsid w:val="00F24370"/>
    <w:rsid w:val="00F24826"/>
    <w:rsid w:val="00F24942"/>
    <w:rsid w:val="00F25C59"/>
    <w:rsid w:val="00F26229"/>
    <w:rsid w:val="00F26251"/>
    <w:rsid w:val="00F26385"/>
    <w:rsid w:val="00F26AB3"/>
    <w:rsid w:val="00F2704D"/>
    <w:rsid w:val="00F27990"/>
    <w:rsid w:val="00F27B90"/>
    <w:rsid w:val="00F27B93"/>
    <w:rsid w:val="00F27C28"/>
    <w:rsid w:val="00F27CFE"/>
    <w:rsid w:val="00F30069"/>
    <w:rsid w:val="00F30BD7"/>
    <w:rsid w:val="00F30E61"/>
    <w:rsid w:val="00F30F76"/>
    <w:rsid w:val="00F31377"/>
    <w:rsid w:val="00F31520"/>
    <w:rsid w:val="00F3167A"/>
    <w:rsid w:val="00F31944"/>
    <w:rsid w:val="00F31EE9"/>
    <w:rsid w:val="00F32789"/>
    <w:rsid w:val="00F327C9"/>
    <w:rsid w:val="00F329CF"/>
    <w:rsid w:val="00F32DD9"/>
    <w:rsid w:val="00F331B9"/>
    <w:rsid w:val="00F3378C"/>
    <w:rsid w:val="00F34169"/>
    <w:rsid w:val="00F34270"/>
    <w:rsid w:val="00F34DB6"/>
    <w:rsid w:val="00F35044"/>
    <w:rsid w:val="00F3638B"/>
    <w:rsid w:val="00F363B2"/>
    <w:rsid w:val="00F366CA"/>
    <w:rsid w:val="00F368A3"/>
    <w:rsid w:val="00F369B4"/>
    <w:rsid w:val="00F36BAC"/>
    <w:rsid w:val="00F3760D"/>
    <w:rsid w:val="00F377D5"/>
    <w:rsid w:val="00F37BBC"/>
    <w:rsid w:val="00F37BC3"/>
    <w:rsid w:val="00F4000F"/>
    <w:rsid w:val="00F4002A"/>
    <w:rsid w:val="00F40202"/>
    <w:rsid w:val="00F40694"/>
    <w:rsid w:val="00F410B7"/>
    <w:rsid w:val="00F415F9"/>
    <w:rsid w:val="00F421B5"/>
    <w:rsid w:val="00F42C38"/>
    <w:rsid w:val="00F42CF0"/>
    <w:rsid w:val="00F42E80"/>
    <w:rsid w:val="00F42FA1"/>
    <w:rsid w:val="00F43597"/>
    <w:rsid w:val="00F437DC"/>
    <w:rsid w:val="00F4406B"/>
    <w:rsid w:val="00F444C0"/>
    <w:rsid w:val="00F44A9F"/>
    <w:rsid w:val="00F44C34"/>
    <w:rsid w:val="00F44D82"/>
    <w:rsid w:val="00F457BC"/>
    <w:rsid w:val="00F45AB0"/>
    <w:rsid w:val="00F45FB8"/>
    <w:rsid w:val="00F4646C"/>
    <w:rsid w:val="00F46921"/>
    <w:rsid w:val="00F46ACB"/>
    <w:rsid w:val="00F46B3B"/>
    <w:rsid w:val="00F47F39"/>
    <w:rsid w:val="00F47F5B"/>
    <w:rsid w:val="00F50EB9"/>
    <w:rsid w:val="00F511CB"/>
    <w:rsid w:val="00F51429"/>
    <w:rsid w:val="00F51BB1"/>
    <w:rsid w:val="00F52B9A"/>
    <w:rsid w:val="00F52CEB"/>
    <w:rsid w:val="00F52E8A"/>
    <w:rsid w:val="00F53234"/>
    <w:rsid w:val="00F53694"/>
    <w:rsid w:val="00F53906"/>
    <w:rsid w:val="00F53AE4"/>
    <w:rsid w:val="00F53CDA"/>
    <w:rsid w:val="00F54596"/>
    <w:rsid w:val="00F547CC"/>
    <w:rsid w:val="00F556DC"/>
    <w:rsid w:val="00F5591E"/>
    <w:rsid w:val="00F55A3D"/>
    <w:rsid w:val="00F55DF4"/>
    <w:rsid w:val="00F55E19"/>
    <w:rsid w:val="00F566D0"/>
    <w:rsid w:val="00F568F6"/>
    <w:rsid w:val="00F5787C"/>
    <w:rsid w:val="00F57894"/>
    <w:rsid w:val="00F5790C"/>
    <w:rsid w:val="00F57C77"/>
    <w:rsid w:val="00F57FB8"/>
    <w:rsid w:val="00F601F8"/>
    <w:rsid w:val="00F6041D"/>
    <w:rsid w:val="00F60BA1"/>
    <w:rsid w:val="00F60CB5"/>
    <w:rsid w:val="00F619A5"/>
    <w:rsid w:val="00F61D77"/>
    <w:rsid w:val="00F62A60"/>
    <w:rsid w:val="00F646D0"/>
    <w:rsid w:val="00F64A28"/>
    <w:rsid w:val="00F655DD"/>
    <w:rsid w:val="00F65643"/>
    <w:rsid w:val="00F65740"/>
    <w:rsid w:val="00F6576C"/>
    <w:rsid w:val="00F66070"/>
    <w:rsid w:val="00F66AFB"/>
    <w:rsid w:val="00F6756B"/>
    <w:rsid w:val="00F676C1"/>
    <w:rsid w:val="00F703F3"/>
    <w:rsid w:val="00F70446"/>
    <w:rsid w:val="00F70C85"/>
    <w:rsid w:val="00F70CA9"/>
    <w:rsid w:val="00F72318"/>
    <w:rsid w:val="00F72505"/>
    <w:rsid w:val="00F727B4"/>
    <w:rsid w:val="00F729F6"/>
    <w:rsid w:val="00F72D1A"/>
    <w:rsid w:val="00F72FFB"/>
    <w:rsid w:val="00F73566"/>
    <w:rsid w:val="00F7392F"/>
    <w:rsid w:val="00F73D12"/>
    <w:rsid w:val="00F74718"/>
    <w:rsid w:val="00F74F9D"/>
    <w:rsid w:val="00F74FE4"/>
    <w:rsid w:val="00F7508D"/>
    <w:rsid w:val="00F75319"/>
    <w:rsid w:val="00F75646"/>
    <w:rsid w:val="00F75A88"/>
    <w:rsid w:val="00F75FA3"/>
    <w:rsid w:val="00F76850"/>
    <w:rsid w:val="00F76CAD"/>
    <w:rsid w:val="00F771F3"/>
    <w:rsid w:val="00F773F5"/>
    <w:rsid w:val="00F7796B"/>
    <w:rsid w:val="00F77C76"/>
    <w:rsid w:val="00F77DEC"/>
    <w:rsid w:val="00F800E8"/>
    <w:rsid w:val="00F80EDB"/>
    <w:rsid w:val="00F81177"/>
    <w:rsid w:val="00F811D1"/>
    <w:rsid w:val="00F81972"/>
    <w:rsid w:val="00F81B6D"/>
    <w:rsid w:val="00F82077"/>
    <w:rsid w:val="00F82175"/>
    <w:rsid w:val="00F82DE5"/>
    <w:rsid w:val="00F8328D"/>
    <w:rsid w:val="00F83356"/>
    <w:rsid w:val="00F8381E"/>
    <w:rsid w:val="00F83A2F"/>
    <w:rsid w:val="00F844C5"/>
    <w:rsid w:val="00F84FA7"/>
    <w:rsid w:val="00F8526C"/>
    <w:rsid w:val="00F852FD"/>
    <w:rsid w:val="00F85589"/>
    <w:rsid w:val="00F85853"/>
    <w:rsid w:val="00F867C0"/>
    <w:rsid w:val="00F86D9F"/>
    <w:rsid w:val="00F86F82"/>
    <w:rsid w:val="00F90069"/>
    <w:rsid w:val="00F90469"/>
    <w:rsid w:val="00F90803"/>
    <w:rsid w:val="00F90D14"/>
    <w:rsid w:val="00F910F6"/>
    <w:rsid w:val="00F9168E"/>
    <w:rsid w:val="00F9170E"/>
    <w:rsid w:val="00F91F4F"/>
    <w:rsid w:val="00F92226"/>
    <w:rsid w:val="00F925FC"/>
    <w:rsid w:val="00F92841"/>
    <w:rsid w:val="00F932D8"/>
    <w:rsid w:val="00F93348"/>
    <w:rsid w:val="00F93590"/>
    <w:rsid w:val="00F93731"/>
    <w:rsid w:val="00F938E2"/>
    <w:rsid w:val="00F93B1C"/>
    <w:rsid w:val="00F93D33"/>
    <w:rsid w:val="00F93DEB"/>
    <w:rsid w:val="00F95988"/>
    <w:rsid w:val="00F959C0"/>
    <w:rsid w:val="00F9611F"/>
    <w:rsid w:val="00F962AE"/>
    <w:rsid w:val="00F96876"/>
    <w:rsid w:val="00F96BF0"/>
    <w:rsid w:val="00F9771E"/>
    <w:rsid w:val="00F97D6F"/>
    <w:rsid w:val="00FA078C"/>
    <w:rsid w:val="00FA27F0"/>
    <w:rsid w:val="00FA29A3"/>
    <w:rsid w:val="00FA2DC2"/>
    <w:rsid w:val="00FA32A1"/>
    <w:rsid w:val="00FA3820"/>
    <w:rsid w:val="00FA384D"/>
    <w:rsid w:val="00FA3AD6"/>
    <w:rsid w:val="00FA3B24"/>
    <w:rsid w:val="00FA45F3"/>
    <w:rsid w:val="00FA4E5A"/>
    <w:rsid w:val="00FA4E5C"/>
    <w:rsid w:val="00FA50A0"/>
    <w:rsid w:val="00FA516E"/>
    <w:rsid w:val="00FA56D6"/>
    <w:rsid w:val="00FA5727"/>
    <w:rsid w:val="00FA6AEF"/>
    <w:rsid w:val="00FA7A3E"/>
    <w:rsid w:val="00FA7D70"/>
    <w:rsid w:val="00FB0291"/>
    <w:rsid w:val="00FB041A"/>
    <w:rsid w:val="00FB0B6C"/>
    <w:rsid w:val="00FB0CF2"/>
    <w:rsid w:val="00FB10C0"/>
    <w:rsid w:val="00FB132A"/>
    <w:rsid w:val="00FB13B1"/>
    <w:rsid w:val="00FB140D"/>
    <w:rsid w:val="00FB1500"/>
    <w:rsid w:val="00FB1BBF"/>
    <w:rsid w:val="00FB1C48"/>
    <w:rsid w:val="00FB1C66"/>
    <w:rsid w:val="00FB2050"/>
    <w:rsid w:val="00FB20CB"/>
    <w:rsid w:val="00FB2B56"/>
    <w:rsid w:val="00FB321D"/>
    <w:rsid w:val="00FB38CB"/>
    <w:rsid w:val="00FB39AF"/>
    <w:rsid w:val="00FB3DE9"/>
    <w:rsid w:val="00FB45AA"/>
    <w:rsid w:val="00FB496A"/>
    <w:rsid w:val="00FB509A"/>
    <w:rsid w:val="00FB56CA"/>
    <w:rsid w:val="00FB57AA"/>
    <w:rsid w:val="00FB5A73"/>
    <w:rsid w:val="00FB5BF3"/>
    <w:rsid w:val="00FB5C26"/>
    <w:rsid w:val="00FB5E45"/>
    <w:rsid w:val="00FB64FF"/>
    <w:rsid w:val="00FB68D4"/>
    <w:rsid w:val="00FB695E"/>
    <w:rsid w:val="00FB6C53"/>
    <w:rsid w:val="00FB6E4C"/>
    <w:rsid w:val="00FB6EEA"/>
    <w:rsid w:val="00FB773A"/>
    <w:rsid w:val="00FB7ABB"/>
    <w:rsid w:val="00FB7D93"/>
    <w:rsid w:val="00FC00FB"/>
    <w:rsid w:val="00FC0140"/>
    <w:rsid w:val="00FC0827"/>
    <w:rsid w:val="00FC0888"/>
    <w:rsid w:val="00FC093F"/>
    <w:rsid w:val="00FC0B95"/>
    <w:rsid w:val="00FC10CB"/>
    <w:rsid w:val="00FC1703"/>
    <w:rsid w:val="00FC1793"/>
    <w:rsid w:val="00FC3285"/>
    <w:rsid w:val="00FC366E"/>
    <w:rsid w:val="00FC383D"/>
    <w:rsid w:val="00FC394B"/>
    <w:rsid w:val="00FC3A7C"/>
    <w:rsid w:val="00FC3E73"/>
    <w:rsid w:val="00FC3F40"/>
    <w:rsid w:val="00FC404D"/>
    <w:rsid w:val="00FC40E1"/>
    <w:rsid w:val="00FC47B0"/>
    <w:rsid w:val="00FC47FB"/>
    <w:rsid w:val="00FC4B16"/>
    <w:rsid w:val="00FC520F"/>
    <w:rsid w:val="00FC55F6"/>
    <w:rsid w:val="00FC578E"/>
    <w:rsid w:val="00FC6986"/>
    <w:rsid w:val="00FC6A6B"/>
    <w:rsid w:val="00FC6C81"/>
    <w:rsid w:val="00FC6ECC"/>
    <w:rsid w:val="00FC71AB"/>
    <w:rsid w:val="00FC755D"/>
    <w:rsid w:val="00FC77E8"/>
    <w:rsid w:val="00FC7A46"/>
    <w:rsid w:val="00FD006A"/>
    <w:rsid w:val="00FD015C"/>
    <w:rsid w:val="00FD02E3"/>
    <w:rsid w:val="00FD0D6F"/>
    <w:rsid w:val="00FD1DD3"/>
    <w:rsid w:val="00FD20B2"/>
    <w:rsid w:val="00FD2A03"/>
    <w:rsid w:val="00FD2AC5"/>
    <w:rsid w:val="00FD2AD8"/>
    <w:rsid w:val="00FD2C10"/>
    <w:rsid w:val="00FD36BD"/>
    <w:rsid w:val="00FD39FE"/>
    <w:rsid w:val="00FD3A1A"/>
    <w:rsid w:val="00FD3F7B"/>
    <w:rsid w:val="00FD4738"/>
    <w:rsid w:val="00FD4E54"/>
    <w:rsid w:val="00FD4F17"/>
    <w:rsid w:val="00FD4FFF"/>
    <w:rsid w:val="00FD59AB"/>
    <w:rsid w:val="00FD6681"/>
    <w:rsid w:val="00FD67FC"/>
    <w:rsid w:val="00FD6AA8"/>
    <w:rsid w:val="00FD6CB4"/>
    <w:rsid w:val="00FD6F19"/>
    <w:rsid w:val="00FD6F1C"/>
    <w:rsid w:val="00FD70C5"/>
    <w:rsid w:val="00FD7898"/>
    <w:rsid w:val="00FD7B01"/>
    <w:rsid w:val="00FD7CC4"/>
    <w:rsid w:val="00FE00FD"/>
    <w:rsid w:val="00FE120A"/>
    <w:rsid w:val="00FE14A1"/>
    <w:rsid w:val="00FE1614"/>
    <w:rsid w:val="00FE16F5"/>
    <w:rsid w:val="00FE1CDF"/>
    <w:rsid w:val="00FE1DA9"/>
    <w:rsid w:val="00FE1EA6"/>
    <w:rsid w:val="00FE2694"/>
    <w:rsid w:val="00FE29E1"/>
    <w:rsid w:val="00FE2A56"/>
    <w:rsid w:val="00FE2CB5"/>
    <w:rsid w:val="00FE2D2D"/>
    <w:rsid w:val="00FE2FBE"/>
    <w:rsid w:val="00FE30DA"/>
    <w:rsid w:val="00FE39BF"/>
    <w:rsid w:val="00FE3A49"/>
    <w:rsid w:val="00FE3B18"/>
    <w:rsid w:val="00FE3F01"/>
    <w:rsid w:val="00FE3FE3"/>
    <w:rsid w:val="00FE46A7"/>
    <w:rsid w:val="00FE4929"/>
    <w:rsid w:val="00FE4EC8"/>
    <w:rsid w:val="00FE504A"/>
    <w:rsid w:val="00FE5384"/>
    <w:rsid w:val="00FE5AD9"/>
    <w:rsid w:val="00FE61EB"/>
    <w:rsid w:val="00FE6675"/>
    <w:rsid w:val="00FE6CE1"/>
    <w:rsid w:val="00FE774D"/>
    <w:rsid w:val="00FE7ABF"/>
    <w:rsid w:val="00FE7B9C"/>
    <w:rsid w:val="00FF00AC"/>
    <w:rsid w:val="00FF1015"/>
    <w:rsid w:val="00FF1917"/>
    <w:rsid w:val="00FF1A57"/>
    <w:rsid w:val="00FF1E47"/>
    <w:rsid w:val="00FF24FD"/>
    <w:rsid w:val="00FF2630"/>
    <w:rsid w:val="00FF26B1"/>
    <w:rsid w:val="00FF3341"/>
    <w:rsid w:val="00FF3775"/>
    <w:rsid w:val="00FF4077"/>
    <w:rsid w:val="00FF41BF"/>
    <w:rsid w:val="00FF440F"/>
    <w:rsid w:val="00FF5257"/>
    <w:rsid w:val="00FF5E8A"/>
    <w:rsid w:val="00FF6001"/>
    <w:rsid w:val="00FF67FA"/>
    <w:rsid w:val="00FF689A"/>
    <w:rsid w:val="00FF6AB0"/>
    <w:rsid w:val="00FF6F77"/>
    <w:rsid w:val="00FF72AD"/>
    <w:rsid w:val="00FF7430"/>
    <w:rsid w:val="00FF753B"/>
    <w:rsid w:val="00FF7D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1"/>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2"/>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uiPriority w:val="39"/>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lp"/>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 w:type="paragraph" w:customStyle="1" w:styleId="OTENormal">
    <w:name w:val="OTE Normal"/>
    <w:basedOn w:val="Normal"/>
    <w:autoRedefine/>
    <w:qFormat/>
    <w:rsid w:val="00AA195C"/>
    <w:pPr>
      <w:tabs>
        <w:tab w:val="left" w:pos="6946"/>
      </w:tabs>
      <w:suppressAutoHyphens/>
      <w:spacing w:after="0" w:line="240" w:lineRule="auto"/>
      <w:jc w:val="both"/>
    </w:pPr>
    <w:rPr>
      <w:rFonts w:ascii="Franklin Gothic Book" w:eastAsia="Times New Roman" w:hAnsi="Franklin Gothic Book" w:cs="Times New Roman"/>
      <w:spacing w:val="-2"/>
      <w:sz w:val="20"/>
      <w:szCs w:val="20"/>
    </w:rPr>
  </w:style>
  <w:style w:type="character" w:customStyle="1" w:styleId="cf01">
    <w:name w:val="cf01"/>
    <w:basedOn w:val="DefaultParagraphFont"/>
    <w:rsid w:val="007F3216"/>
    <w:rPr>
      <w:rFonts w:ascii="Segoe UI" w:hAnsi="Segoe UI" w:cs="Segoe UI" w:hint="default"/>
      <w:sz w:val="18"/>
      <w:szCs w:val="18"/>
    </w:rPr>
  </w:style>
  <w:style w:type="character" w:customStyle="1" w:styleId="rynqvb">
    <w:name w:val="rynqvb"/>
    <w:basedOn w:val="DefaultParagraphFont"/>
    <w:rsid w:val="00661310"/>
  </w:style>
  <w:style w:type="character" w:customStyle="1" w:styleId="sr-only">
    <w:name w:val="sr-only"/>
    <w:basedOn w:val="DefaultParagraphFont"/>
    <w:rsid w:val="000B412C"/>
  </w:style>
  <w:style w:type="paragraph" w:styleId="Caption">
    <w:name w:val="caption"/>
    <w:basedOn w:val="Normal"/>
    <w:next w:val="Normal"/>
    <w:uiPriority w:val="35"/>
    <w:unhideWhenUsed/>
    <w:qFormat/>
    <w:rsid w:val="0016208B"/>
    <w:pPr>
      <w:spacing w:after="200" w:line="240" w:lineRule="auto"/>
    </w:pPr>
    <w:rPr>
      <w:rFonts w:ascii="Arial" w:eastAsia="Times New Roman" w:hAnsi="Arial" w:cs="Times New Roman"/>
      <w:b/>
      <w:iCs/>
      <w:szCs w:val="18"/>
      <w:lang w:val="en-US"/>
    </w:rPr>
  </w:style>
  <w:style w:type="paragraph" w:customStyle="1" w:styleId="Tittle2">
    <w:name w:val="Tittle 2"/>
    <w:basedOn w:val="Title"/>
    <w:link w:val="Tittle2Char"/>
    <w:qFormat/>
    <w:rsid w:val="00557880"/>
    <w:pPr>
      <w:pBdr>
        <w:bottom w:val="single" w:sz="4" w:space="1" w:color="0070C0"/>
      </w:pBdr>
    </w:pPr>
    <w:rPr>
      <w:rFonts w:ascii="Arial" w:hAnsi="Arial"/>
      <w:b/>
      <w:color w:val="004E9A"/>
      <w:sz w:val="24"/>
    </w:rPr>
  </w:style>
  <w:style w:type="character" w:customStyle="1" w:styleId="Tittle2Char">
    <w:name w:val="Tittle 2 Char"/>
    <w:basedOn w:val="TitleChar"/>
    <w:link w:val="Tittle2"/>
    <w:rsid w:val="00557880"/>
    <w:rPr>
      <w:rFonts w:ascii="Arial" w:eastAsia="Times New Roman" w:hAnsi="Arial" w:cs="Times New Roman"/>
      <w:b/>
      <w:color w:val="004E9A"/>
      <w:spacing w:val="5"/>
      <w:kern w:val="28"/>
      <w:sz w:val="24"/>
      <w:szCs w:val="52"/>
      <w:lang w:val="en-US"/>
      <w14:ligatures w14:val="none"/>
    </w:rPr>
  </w:style>
  <w:style w:type="paragraph" w:customStyle="1" w:styleId="TITTLE3">
    <w:name w:val="TITTLE 3"/>
    <w:basedOn w:val="Title"/>
    <w:link w:val="TITTLE3Char"/>
    <w:qFormat/>
    <w:rsid w:val="00557880"/>
    <w:pPr>
      <w:pBdr>
        <w:bottom w:val="none" w:sz="0" w:space="0" w:color="auto"/>
      </w:pBdr>
      <w:jc w:val="center"/>
    </w:pPr>
    <w:rPr>
      <w:rFonts w:ascii="Arial" w:hAnsi="Arial"/>
      <w:b/>
      <w:color w:val="004E9A"/>
      <w:sz w:val="28"/>
      <w:szCs w:val="28"/>
    </w:rPr>
  </w:style>
  <w:style w:type="character" w:customStyle="1" w:styleId="TITTLE3Char">
    <w:name w:val="TITTLE 3 Char"/>
    <w:basedOn w:val="TitleChar"/>
    <w:link w:val="TITTLE3"/>
    <w:rsid w:val="00557880"/>
    <w:rPr>
      <w:rFonts w:ascii="Arial" w:eastAsia="Times New Roman" w:hAnsi="Arial" w:cs="Times New Roman"/>
      <w:b/>
      <w:color w:val="004E9A"/>
      <w:spacing w:val="5"/>
      <w:kern w:val="28"/>
      <w:sz w:val="28"/>
      <w:szCs w:val="28"/>
      <w:lang w:val="en-US"/>
      <w14:ligatures w14:val="none"/>
    </w:rPr>
  </w:style>
  <w:style w:type="paragraph" w:customStyle="1" w:styleId="Normal2">
    <w:name w:val="Normal 2"/>
    <w:basedOn w:val="Heading2"/>
    <w:link w:val="Normal2Char"/>
    <w:qFormat/>
    <w:rsid w:val="00097EA2"/>
    <w:pPr>
      <w:numPr>
        <w:numId w:val="9"/>
      </w:numPr>
      <w:pBdr>
        <w:bottom w:val="single" w:sz="2" w:space="1" w:color="004E9A"/>
      </w:pBdr>
    </w:pPr>
    <w:rPr>
      <w:rFonts w:ascii="Arial" w:hAnsi="Arial"/>
      <w:color w:val="004E9A"/>
    </w:rPr>
  </w:style>
  <w:style w:type="character" w:customStyle="1" w:styleId="Normal2Char">
    <w:name w:val="Normal 2 Char"/>
    <w:basedOn w:val="Heading2Char"/>
    <w:link w:val="Normal2"/>
    <w:rsid w:val="00097EA2"/>
    <w:rPr>
      <w:rFonts w:ascii="Arial" w:eastAsia="Times New Roman" w:hAnsi="Arial" w:cs="Times New Roman"/>
      <w:b/>
      <w:bCs/>
      <w:color w:val="004E9A"/>
      <w:kern w:val="0"/>
      <w:sz w:val="24"/>
      <w:szCs w:val="24"/>
      <w:lang w:val="en-US"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920">
      <w:bodyDiv w:val="1"/>
      <w:marLeft w:val="0"/>
      <w:marRight w:val="0"/>
      <w:marTop w:val="0"/>
      <w:marBottom w:val="0"/>
      <w:divBdr>
        <w:top w:val="none" w:sz="0" w:space="0" w:color="auto"/>
        <w:left w:val="none" w:sz="0" w:space="0" w:color="auto"/>
        <w:bottom w:val="none" w:sz="0" w:space="0" w:color="auto"/>
        <w:right w:val="none" w:sz="0" w:space="0" w:color="auto"/>
      </w:divBdr>
    </w:div>
    <w:div w:id="12534352">
      <w:bodyDiv w:val="1"/>
      <w:marLeft w:val="0"/>
      <w:marRight w:val="0"/>
      <w:marTop w:val="0"/>
      <w:marBottom w:val="0"/>
      <w:divBdr>
        <w:top w:val="none" w:sz="0" w:space="0" w:color="auto"/>
        <w:left w:val="none" w:sz="0" w:space="0" w:color="auto"/>
        <w:bottom w:val="none" w:sz="0" w:space="0" w:color="auto"/>
        <w:right w:val="none" w:sz="0" w:space="0" w:color="auto"/>
      </w:divBdr>
    </w:div>
    <w:div w:id="14425966">
      <w:bodyDiv w:val="1"/>
      <w:marLeft w:val="0"/>
      <w:marRight w:val="0"/>
      <w:marTop w:val="0"/>
      <w:marBottom w:val="0"/>
      <w:divBdr>
        <w:top w:val="none" w:sz="0" w:space="0" w:color="auto"/>
        <w:left w:val="none" w:sz="0" w:space="0" w:color="auto"/>
        <w:bottom w:val="none" w:sz="0" w:space="0" w:color="auto"/>
        <w:right w:val="none" w:sz="0" w:space="0" w:color="auto"/>
      </w:divBdr>
    </w:div>
    <w:div w:id="60179147">
      <w:bodyDiv w:val="1"/>
      <w:marLeft w:val="0"/>
      <w:marRight w:val="0"/>
      <w:marTop w:val="0"/>
      <w:marBottom w:val="0"/>
      <w:divBdr>
        <w:top w:val="none" w:sz="0" w:space="0" w:color="auto"/>
        <w:left w:val="none" w:sz="0" w:space="0" w:color="auto"/>
        <w:bottom w:val="none" w:sz="0" w:space="0" w:color="auto"/>
        <w:right w:val="none" w:sz="0" w:space="0" w:color="auto"/>
      </w:divBdr>
    </w:div>
    <w:div w:id="161047895">
      <w:bodyDiv w:val="1"/>
      <w:marLeft w:val="0"/>
      <w:marRight w:val="0"/>
      <w:marTop w:val="0"/>
      <w:marBottom w:val="0"/>
      <w:divBdr>
        <w:top w:val="none" w:sz="0" w:space="0" w:color="auto"/>
        <w:left w:val="none" w:sz="0" w:space="0" w:color="auto"/>
        <w:bottom w:val="none" w:sz="0" w:space="0" w:color="auto"/>
        <w:right w:val="none" w:sz="0" w:space="0" w:color="auto"/>
      </w:divBdr>
      <w:divsChild>
        <w:div w:id="1971475829">
          <w:marLeft w:val="0"/>
          <w:marRight w:val="0"/>
          <w:marTop w:val="0"/>
          <w:marBottom w:val="0"/>
          <w:divBdr>
            <w:top w:val="none" w:sz="0" w:space="0" w:color="auto"/>
            <w:left w:val="none" w:sz="0" w:space="0" w:color="auto"/>
            <w:bottom w:val="none" w:sz="0" w:space="0" w:color="auto"/>
            <w:right w:val="none" w:sz="0" w:space="0" w:color="auto"/>
          </w:divBdr>
          <w:divsChild>
            <w:div w:id="1098335477">
              <w:marLeft w:val="0"/>
              <w:marRight w:val="0"/>
              <w:marTop w:val="0"/>
              <w:marBottom w:val="0"/>
              <w:divBdr>
                <w:top w:val="none" w:sz="0" w:space="0" w:color="auto"/>
                <w:left w:val="none" w:sz="0" w:space="0" w:color="auto"/>
                <w:bottom w:val="none" w:sz="0" w:space="0" w:color="auto"/>
                <w:right w:val="none" w:sz="0" w:space="0" w:color="auto"/>
              </w:divBdr>
              <w:divsChild>
                <w:div w:id="301278679">
                  <w:marLeft w:val="0"/>
                  <w:marRight w:val="0"/>
                  <w:marTop w:val="0"/>
                  <w:marBottom w:val="0"/>
                  <w:divBdr>
                    <w:top w:val="none" w:sz="0" w:space="0" w:color="auto"/>
                    <w:left w:val="none" w:sz="0" w:space="0" w:color="auto"/>
                    <w:bottom w:val="none" w:sz="0" w:space="0" w:color="auto"/>
                    <w:right w:val="none" w:sz="0" w:space="0" w:color="auto"/>
                  </w:divBdr>
                  <w:divsChild>
                    <w:div w:id="1836408649">
                      <w:marLeft w:val="0"/>
                      <w:marRight w:val="0"/>
                      <w:marTop w:val="0"/>
                      <w:marBottom w:val="0"/>
                      <w:divBdr>
                        <w:top w:val="none" w:sz="0" w:space="0" w:color="auto"/>
                        <w:left w:val="none" w:sz="0" w:space="0" w:color="auto"/>
                        <w:bottom w:val="none" w:sz="0" w:space="0" w:color="auto"/>
                        <w:right w:val="none" w:sz="0" w:space="0" w:color="auto"/>
                      </w:divBdr>
                      <w:divsChild>
                        <w:div w:id="417334885">
                          <w:marLeft w:val="0"/>
                          <w:marRight w:val="0"/>
                          <w:marTop w:val="0"/>
                          <w:marBottom w:val="0"/>
                          <w:divBdr>
                            <w:top w:val="none" w:sz="0" w:space="0" w:color="auto"/>
                            <w:left w:val="none" w:sz="0" w:space="0" w:color="auto"/>
                            <w:bottom w:val="none" w:sz="0" w:space="0" w:color="auto"/>
                            <w:right w:val="none" w:sz="0" w:space="0" w:color="auto"/>
                          </w:divBdr>
                          <w:divsChild>
                            <w:div w:id="1276249356">
                              <w:marLeft w:val="0"/>
                              <w:marRight w:val="0"/>
                              <w:marTop w:val="0"/>
                              <w:marBottom w:val="0"/>
                              <w:divBdr>
                                <w:top w:val="none" w:sz="0" w:space="0" w:color="auto"/>
                                <w:left w:val="none" w:sz="0" w:space="0" w:color="auto"/>
                                <w:bottom w:val="none" w:sz="0" w:space="0" w:color="auto"/>
                                <w:right w:val="none" w:sz="0" w:space="0" w:color="auto"/>
                              </w:divBdr>
                              <w:divsChild>
                                <w:div w:id="7910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8162">
      <w:bodyDiv w:val="1"/>
      <w:marLeft w:val="0"/>
      <w:marRight w:val="0"/>
      <w:marTop w:val="0"/>
      <w:marBottom w:val="0"/>
      <w:divBdr>
        <w:top w:val="none" w:sz="0" w:space="0" w:color="auto"/>
        <w:left w:val="none" w:sz="0" w:space="0" w:color="auto"/>
        <w:bottom w:val="none" w:sz="0" w:space="0" w:color="auto"/>
        <w:right w:val="none" w:sz="0" w:space="0" w:color="auto"/>
      </w:divBdr>
      <w:divsChild>
        <w:div w:id="1484544010">
          <w:marLeft w:val="0"/>
          <w:marRight w:val="0"/>
          <w:marTop w:val="0"/>
          <w:marBottom w:val="0"/>
          <w:divBdr>
            <w:top w:val="none" w:sz="0" w:space="0" w:color="auto"/>
            <w:left w:val="none" w:sz="0" w:space="0" w:color="auto"/>
            <w:bottom w:val="none" w:sz="0" w:space="0" w:color="auto"/>
            <w:right w:val="none" w:sz="0" w:space="0" w:color="auto"/>
          </w:divBdr>
          <w:divsChild>
            <w:div w:id="907302797">
              <w:marLeft w:val="0"/>
              <w:marRight w:val="0"/>
              <w:marTop w:val="0"/>
              <w:marBottom w:val="0"/>
              <w:divBdr>
                <w:top w:val="none" w:sz="0" w:space="0" w:color="auto"/>
                <w:left w:val="none" w:sz="0" w:space="0" w:color="auto"/>
                <w:bottom w:val="none" w:sz="0" w:space="0" w:color="auto"/>
                <w:right w:val="none" w:sz="0" w:space="0" w:color="auto"/>
              </w:divBdr>
              <w:divsChild>
                <w:div w:id="1634947099">
                  <w:marLeft w:val="0"/>
                  <w:marRight w:val="0"/>
                  <w:marTop w:val="0"/>
                  <w:marBottom w:val="0"/>
                  <w:divBdr>
                    <w:top w:val="none" w:sz="0" w:space="0" w:color="auto"/>
                    <w:left w:val="none" w:sz="0" w:space="0" w:color="auto"/>
                    <w:bottom w:val="none" w:sz="0" w:space="0" w:color="auto"/>
                    <w:right w:val="none" w:sz="0" w:space="0" w:color="auto"/>
                  </w:divBdr>
                  <w:divsChild>
                    <w:div w:id="1507482399">
                      <w:marLeft w:val="0"/>
                      <w:marRight w:val="0"/>
                      <w:marTop w:val="0"/>
                      <w:marBottom w:val="0"/>
                      <w:divBdr>
                        <w:top w:val="none" w:sz="0" w:space="0" w:color="auto"/>
                        <w:left w:val="none" w:sz="0" w:space="0" w:color="auto"/>
                        <w:bottom w:val="none" w:sz="0" w:space="0" w:color="auto"/>
                        <w:right w:val="none" w:sz="0" w:space="0" w:color="auto"/>
                      </w:divBdr>
                      <w:divsChild>
                        <w:div w:id="961183191">
                          <w:marLeft w:val="0"/>
                          <w:marRight w:val="0"/>
                          <w:marTop w:val="0"/>
                          <w:marBottom w:val="0"/>
                          <w:divBdr>
                            <w:top w:val="none" w:sz="0" w:space="0" w:color="auto"/>
                            <w:left w:val="none" w:sz="0" w:space="0" w:color="auto"/>
                            <w:bottom w:val="none" w:sz="0" w:space="0" w:color="auto"/>
                            <w:right w:val="none" w:sz="0" w:space="0" w:color="auto"/>
                          </w:divBdr>
                          <w:divsChild>
                            <w:div w:id="13377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9139">
      <w:bodyDiv w:val="1"/>
      <w:marLeft w:val="0"/>
      <w:marRight w:val="0"/>
      <w:marTop w:val="0"/>
      <w:marBottom w:val="0"/>
      <w:divBdr>
        <w:top w:val="none" w:sz="0" w:space="0" w:color="auto"/>
        <w:left w:val="none" w:sz="0" w:space="0" w:color="auto"/>
        <w:bottom w:val="none" w:sz="0" w:space="0" w:color="auto"/>
        <w:right w:val="none" w:sz="0" w:space="0" w:color="auto"/>
      </w:divBdr>
      <w:divsChild>
        <w:div w:id="1663005304">
          <w:marLeft w:val="0"/>
          <w:marRight w:val="0"/>
          <w:marTop w:val="0"/>
          <w:marBottom w:val="0"/>
          <w:divBdr>
            <w:top w:val="none" w:sz="0" w:space="0" w:color="auto"/>
            <w:left w:val="none" w:sz="0" w:space="0" w:color="auto"/>
            <w:bottom w:val="none" w:sz="0" w:space="0" w:color="auto"/>
            <w:right w:val="none" w:sz="0" w:space="0" w:color="auto"/>
          </w:divBdr>
          <w:divsChild>
            <w:div w:id="402921573">
              <w:marLeft w:val="0"/>
              <w:marRight w:val="0"/>
              <w:marTop w:val="0"/>
              <w:marBottom w:val="0"/>
              <w:divBdr>
                <w:top w:val="none" w:sz="0" w:space="0" w:color="auto"/>
                <w:left w:val="none" w:sz="0" w:space="0" w:color="auto"/>
                <w:bottom w:val="none" w:sz="0" w:space="0" w:color="auto"/>
                <w:right w:val="none" w:sz="0" w:space="0" w:color="auto"/>
              </w:divBdr>
              <w:divsChild>
                <w:div w:id="1978411562">
                  <w:marLeft w:val="0"/>
                  <w:marRight w:val="0"/>
                  <w:marTop w:val="0"/>
                  <w:marBottom w:val="0"/>
                  <w:divBdr>
                    <w:top w:val="none" w:sz="0" w:space="0" w:color="auto"/>
                    <w:left w:val="none" w:sz="0" w:space="0" w:color="auto"/>
                    <w:bottom w:val="none" w:sz="0" w:space="0" w:color="auto"/>
                    <w:right w:val="none" w:sz="0" w:space="0" w:color="auto"/>
                  </w:divBdr>
                  <w:divsChild>
                    <w:div w:id="1370640256">
                      <w:marLeft w:val="0"/>
                      <w:marRight w:val="0"/>
                      <w:marTop w:val="0"/>
                      <w:marBottom w:val="0"/>
                      <w:divBdr>
                        <w:top w:val="none" w:sz="0" w:space="0" w:color="auto"/>
                        <w:left w:val="none" w:sz="0" w:space="0" w:color="auto"/>
                        <w:bottom w:val="none" w:sz="0" w:space="0" w:color="auto"/>
                        <w:right w:val="none" w:sz="0" w:space="0" w:color="auto"/>
                      </w:divBdr>
                      <w:divsChild>
                        <w:div w:id="534343103">
                          <w:marLeft w:val="0"/>
                          <w:marRight w:val="0"/>
                          <w:marTop w:val="0"/>
                          <w:marBottom w:val="0"/>
                          <w:divBdr>
                            <w:top w:val="none" w:sz="0" w:space="0" w:color="auto"/>
                            <w:left w:val="none" w:sz="0" w:space="0" w:color="auto"/>
                            <w:bottom w:val="none" w:sz="0" w:space="0" w:color="auto"/>
                            <w:right w:val="none" w:sz="0" w:space="0" w:color="auto"/>
                          </w:divBdr>
                          <w:divsChild>
                            <w:div w:id="6014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03318">
      <w:bodyDiv w:val="1"/>
      <w:marLeft w:val="0"/>
      <w:marRight w:val="0"/>
      <w:marTop w:val="0"/>
      <w:marBottom w:val="0"/>
      <w:divBdr>
        <w:top w:val="none" w:sz="0" w:space="0" w:color="auto"/>
        <w:left w:val="none" w:sz="0" w:space="0" w:color="auto"/>
        <w:bottom w:val="none" w:sz="0" w:space="0" w:color="auto"/>
        <w:right w:val="none" w:sz="0" w:space="0" w:color="auto"/>
      </w:divBdr>
    </w:div>
    <w:div w:id="301547620">
      <w:bodyDiv w:val="1"/>
      <w:marLeft w:val="0"/>
      <w:marRight w:val="0"/>
      <w:marTop w:val="0"/>
      <w:marBottom w:val="0"/>
      <w:divBdr>
        <w:top w:val="none" w:sz="0" w:space="0" w:color="auto"/>
        <w:left w:val="none" w:sz="0" w:space="0" w:color="auto"/>
        <w:bottom w:val="none" w:sz="0" w:space="0" w:color="auto"/>
        <w:right w:val="none" w:sz="0" w:space="0" w:color="auto"/>
      </w:divBdr>
      <w:divsChild>
        <w:div w:id="1855612916">
          <w:marLeft w:val="0"/>
          <w:marRight w:val="0"/>
          <w:marTop w:val="0"/>
          <w:marBottom w:val="0"/>
          <w:divBdr>
            <w:top w:val="none" w:sz="0" w:space="0" w:color="auto"/>
            <w:left w:val="none" w:sz="0" w:space="0" w:color="auto"/>
            <w:bottom w:val="none" w:sz="0" w:space="0" w:color="auto"/>
            <w:right w:val="none" w:sz="0" w:space="0" w:color="auto"/>
          </w:divBdr>
          <w:divsChild>
            <w:div w:id="262106646">
              <w:marLeft w:val="0"/>
              <w:marRight w:val="0"/>
              <w:marTop w:val="0"/>
              <w:marBottom w:val="0"/>
              <w:divBdr>
                <w:top w:val="none" w:sz="0" w:space="0" w:color="auto"/>
                <w:left w:val="none" w:sz="0" w:space="0" w:color="auto"/>
                <w:bottom w:val="none" w:sz="0" w:space="0" w:color="auto"/>
                <w:right w:val="none" w:sz="0" w:space="0" w:color="auto"/>
              </w:divBdr>
              <w:divsChild>
                <w:div w:id="607585437">
                  <w:marLeft w:val="0"/>
                  <w:marRight w:val="0"/>
                  <w:marTop w:val="0"/>
                  <w:marBottom w:val="0"/>
                  <w:divBdr>
                    <w:top w:val="none" w:sz="0" w:space="0" w:color="auto"/>
                    <w:left w:val="none" w:sz="0" w:space="0" w:color="auto"/>
                    <w:bottom w:val="none" w:sz="0" w:space="0" w:color="auto"/>
                    <w:right w:val="none" w:sz="0" w:space="0" w:color="auto"/>
                  </w:divBdr>
                  <w:divsChild>
                    <w:div w:id="1175655236">
                      <w:marLeft w:val="0"/>
                      <w:marRight w:val="0"/>
                      <w:marTop w:val="0"/>
                      <w:marBottom w:val="0"/>
                      <w:divBdr>
                        <w:top w:val="none" w:sz="0" w:space="0" w:color="auto"/>
                        <w:left w:val="none" w:sz="0" w:space="0" w:color="auto"/>
                        <w:bottom w:val="none" w:sz="0" w:space="0" w:color="auto"/>
                        <w:right w:val="none" w:sz="0" w:space="0" w:color="auto"/>
                      </w:divBdr>
                      <w:divsChild>
                        <w:div w:id="27800221">
                          <w:marLeft w:val="0"/>
                          <w:marRight w:val="0"/>
                          <w:marTop w:val="0"/>
                          <w:marBottom w:val="0"/>
                          <w:divBdr>
                            <w:top w:val="none" w:sz="0" w:space="0" w:color="auto"/>
                            <w:left w:val="none" w:sz="0" w:space="0" w:color="auto"/>
                            <w:bottom w:val="none" w:sz="0" w:space="0" w:color="auto"/>
                            <w:right w:val="none" w:sz="0" w:space="0" w:color="auto"/>
                          </w:divBdr>
                          <w:divsChild>
                            <w:div w:id="5975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53797">
      <w:bodyDiv w:val="1"/>
      <w:marLeft w:val="0"/>
      <w:marRight w:val="0"/>
      <w:marTop w:val="0"/>
      <w:marBottom w:val="0"/>
      <w:divBdr>
        <w:top w:val="none" w:sz="0" w:space="0" w:color="auto"/>
        <w:left w:val="none" w:sz="0" w:space="0" w:color="auto"/>
        <w:bottom w:val="none" w:sz="0" w:space="0" w:color="auto"/>
        <w:right w:val="none" w:sz="0" w:space="0" w:color="auto"/>
      </w:divBdr>
      <w:divsChild>
        <w:div w:id="1392845143">
          <w:marLeft w:val="0"/>
          <w:marRight w:val="0"/>
          <w:marTop w:val="0"/>
          <w:marBottom w:val="0"/>
          <w:divBdr>
            <w:top w:val="none" w:sz="0" w:space="0" w:color="auto"/>
            <w:left w:val="none" w:sz="0" w:space="0" w:color="auto"/>
            <w:bottom w:val="none" w:sz="0" w:space="0" w:color="auto"/>
            <w:right w:val="none" w:sz="0" w:space="0" w:color="auto"/>
          </w:divBdr>
          <w:divsChild>
            <w:div w:id="763571579">
              <w:marLeft w:val="0"/>
              <w:marRight w:val="0"/>
              <w:marTop w:val="0"/>
              <w:marBottom w:val="0"/>
              <w:divBdr>
                <w:top w:val="none" w:sz="0" w:space="0" w:color="auto"/>
                <w:left w:val="none" w:sz="0" w:space="0" w:color="auto"/>
                <w:bottom w:val="none" w:sz="0" w:space="0" w:color="auto"/>
                <w:right w:val="none" w:sz="0" w:space="0" w:color="auto"/>
              </w:divBdr>
              <w:divsChild>
                <w:div w:id="376126873">
                  <w:marLeft w:val="0"/>
                  <w:marRight w:val="0"/>
                  <w:marTop w:val="0"/>
                  <w:marBottom w:val="0"/>
                  <w:divBdr>
                    <w:top w:val="none" w:sz="0" w:space="0" w:color="auto"/>
                    <w:left w:val="none" w:sz="0" w:space="0" w:color="auto"/>
                    <w:bottom w:val="none" w:sz="0" w:space="0" w:color="auto"/>
                    <w:right w:val="none" w:sz="0" w:space="0" w:color="auto"/>
                  </w:divBdr>
                  <w:divsChild>
                    <w:div w:id="261450617">
                      <w:marLeft w:val="0"/>
                      <w:marRight w:val="0"/>
                      <w:marTop w:val="0"/>
                      <w:marBottom w:val="0"/>
                      <w:divBdr>
                        <w:top w:val="none" w:sz="0" w:space="0" w:color="auto"/>
                        <w:left w:val="none" w:sz="0" w:space="0" w:color="auto"/>
                        <w:bottom w:val="none" w:sz="0" w:space="0" w:color="auto"/>
                        <w:right w:val="none" w:sz="0" w:space="0" w:color="auto"/>
                      </w:divBdr>
                      <w:divsChild>
                        <w:div w:id="1319458195">
                          <w:marLeft w:val="0"/>
                          <w:marRight w:val="0"/>
                          <w:marTop w:val="0"/>
                          <w:marBottom w:val="0"/>
                          <w:divBdr>
                            <w:top w:val="none" w:sz="0" w:space="0" w:color="auto"/>
                            <w:left w:val="none" w:sz="0" w:space="0" w:color="auto"/>
                            <w:bottom w:val="none" w:sz="0" w:space="0" w:color="auto"/>
                            <w:right w:val="none" w:sz="0" w:space="0" w:color="auto"/>
                          </w:divBdr>
                          <w:divsChild>
                            <w:div w:id="15060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6922">
      <w:bodyDiv w:val="1"/>
      <w:marLeft w:val="0"/>
      <w:marRight w:val="0"/>
      <w:marTop w:val="0"/>
      <w:marBottom w:val="0"/>
      <w:divBdr>
        <w:top w:val="none" w:sz="0" w:space="0" w:color="auto"/>
        <w:left w:val="none" w:sz="0" w:space="0" w:color="auto"/>
        <w:bottom w:val="none" w:sz="0" w:space="0" w:color="auto"/>
        <w:right w:val="none" w:sz="0" w:space="0" w:color="auto"/>
      </w:divBdr>
      <w:divsChild>
        <w:div w:id="1889871935">
          <w:marLeft w:val="0"/>
          <w:marRight w:val="0"/>
          <w:marTop w:val="0"/>
          <w:marBottom w:val="0"/>
          <w:divBdr>
            <w:top w:val="none" w:sz="0" w:space="0" w:color="auto"/>
            <w:left w:val="none" w:sz="0" w:space="0" w:color="auto"/>
            <w:bottom w:val="none" w:sz="0" w:space="0" w:color="auto"/>
            <w:right w:val="none" w:sz="0" w:space="0" w:color="auto"/>
          </w:divBdr>
          <w:divsChild>
            <w:div w:id="1997880424">
              <w:marLeft w:val="0"/>
              <w:marRight w:val="0"/>
              <w:marTop w:val="0"/>
              <w:marBottom w:val="0"/>
              <w:divBdr>
                <w:top w:val="none" w:sz="0" w:space="0" w:color="auto"/>
                <w:left w:val="none" w:sz="0" w:space="0" w:color="auto"/>
                <w:bottom w:val="none" w:sz="0" w:space="0" w:color="auto"/>
                <w:right w:val="none" w:sz="0" w:space="0" w:color="auto"/>
              </w:divBdr>
              <w:divsChild>
                <w:div w:id="1734699672">
                  <w:marLeft w:val="0"/>
                  <w:marRight w:val="0"/>
                  <w:marTop w:val="0"/>
                  <w:marBottom w:val="0"/>
                  <w:divBdr>
                    <w:top w:val="none" w:sz="0" w:space="0" w:color="auto"/>
                    <w:left w:val="none" w:sz="0" w:space="0" w:color="auto"/>
                    <w:bottom w:val="none" w:sz="0" w:space="0" w:color="auto"/>
                    <w:right w:val="none" w:sz="0" w:space="0" w:color="auto"/>
                  </w:divBdr>
                  <w:divsChild>
                    <w:div w:id="918754732">
                      <w:marLeft w:val="0"/>
                      <w:marRight w:val="0"/>
                      <w:marTop w:val="0"/>
                      <w:marBottom w:val="0"/>
                      <w:divBdr>
                        <w:top w:val="none" w:sz="0" w:space="0" w:color="auto"/>
                        <w:left w:val="none" w:sz="0" w:space="0" w:color="auto"/>
                        <w:bottom w:val="none" w:sz="0" w:space="0" w:color="auto"/>
                        <w:right w:val="none" w:sz="0" w:space="0" w:color="auto"/>
                      </w:divBdr>
                      <w:divsChild>
                        <w:div w:id="692536463">
                          <w:marLeft w:val="0"/>
                          <w:marRight w:val="0"/>
                          <w:marTop w:val="0"/>
                          <w:marBottom w:val="0"/>
                          <w:divBdr>
                            <w:top w:val="none" w:sz="0" w:space="0" w:color="auto"/>
                            <w:left w:val="none" w:sz="0" w:space="0" w:color="auto"/>
                            <w:bottom w:val="none" w:sz="0" w:space="0" w:color="auto"/>
                            <w:right w:val="none" w:sz="0" w:space="0" w:color="auto"/>
                          </w:divBdr>
                          <w:divsChild>
                            <w:div w:id="9467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136706">
      <w:bodyDiv w:val="1"/>
      <w:marLeft w:val="0"/>
      <w:marRight w:val="0"/>
      <w:marTop w:val="0"/>
      <w:marBottom w:val="0"/>
      <w:divBdr>
        <w:top w:val="none" w:sz="0" w:space="0" w:color="auto"/>
        <w:left w:val="none" w:sz="0" w:space="0" w:color="auto"/>
        <w:bottom w:val="none" w:sz="0" w:space="0" w:color="auto"/>
        <w:right w:val="none" w:sz="0" w:space="0" w:color="auto"/>
      </w:divBdr>
    </w:div>
    <w:div w:id="448552333">
      <w:bodyDiv w:val="1"/>
      <w:marLeft w:val="0"/>
      <w:marRight w:val="0"/>
      <w:marTop w:val="0"/>
      <w:marBottom w:val="0"/>
      <w:divBdr>
        <w:top w:val="none" w:sz="0" w:space="0" w:color="auto"/>
        <w:left w:val="none" w:sz="0" w:space="0" w:color="auto"/>
        <w:bottom w:val="none" w:sz="0" w:space="0" w:color="auto"/>
        <w:right w:val="none" w:sz="0" w:space="0" w:color="auto"/>
      </w:divBdr>
    </w:div>
    <w:div w:id="488254451">
      <w:bodyDiv w:val="1"/>
      <w:marLeft w:val="0"/>
      <w:marRight w:val="0"/>
      <w:marTop w:val="0"/>
      <w:marBottom w:val="0"/>
      <w:divBdr>
        <w:top w:val="none" w:sz="0" w:space="0" w:color="auto"/>
        <w:left w:val="none" w:sz="0" w:space="0" w:color="auto"/>
        <w:bottom w:val="none" w:sz="0" w:space="0" w:color="auto"/>
        <w:right w:val="none" w:sz="0" w:space="0" w:color="auto"/>
      </w:divBdr>
      <w:divsChild>
        <w:div w:id="665014809">
          <w:marLeft w:val="0"/>
          <w:marRight w:val="0"/>
          <w:marTop w:val="0"/>
          <w:marBottom w:val="0"/>
          <w:divBdr>
            <w:top w:val="none" w:sz="0" w:space="0" w:color="auto"/>
            <w:left w:val="none" w:sz="0" w:space="0" w:color="auto"/>
            <w:bottom w:val="none" w:sz="0" w:space="0" w:color="auto"/>
            <w:right w:val="none" w:sz="0" w:space="0" w:color="auto"/>
          </w:divBdr>
          <w:divsChild>
            <w:div w:id="1389180512">
              <w:marLeft w:val="0"/>
              <w:marRight w:val="0"/>
              <w:marTop w:val="0"/>
              <w:marBottom w:val="0"/>
              <w:divBdr>
                <w:top w:val="none" w:sz="0" w:space="0" w:color="auto"/>
                <w:left w:val="none" w:sz="0" w:space="0" w:color="auto"/>
                <w:bottom w:val="none" w:sz="0" w:space="0" w:color="auto"/>
                <w:right w:val="none" w:sz="0" w:space="0" w:color="auto"/>
              </w:divBdr>
              <w:divsChild>
                <w:div w:id="697006327">
                  <w:marLeft w:val="0"/>
                  <w:marRight w:val="0"/>
                  <w:marTop w:val="0"/>
                  <w:marBottom w:val="0"/>
                  <w:divBdr>
                    <w:top w:val="none" w:sz="0" w:space="0" w:color="auto"/>
                    <w:left w:val="none" w:sz="0" w:space="0" w:color="auto"/>
                    <w:bottom w:val="none" w:sz="0" w:space="0" w:color="auto"/>
                    <w:right w:val="none" w:sz="0" w:space="0" w:color="auto"/>
                  </w:divBdr>
                  <w:divsChild>
                    <w:div w:id="373235775">
                      <w:marLeft w:val="0"/>
                      <w:marRight w:val="0"/>
                      <w:marTop w:val="0"/>
                      <w:marBottom w:val="0"/>
                      <w:divBdr>
                        <w:top w:val="none" w:sz="0" w:space="0" w:color="auto"/>
                        <w:left w:val="none" w:sz="0" w:space="0" w:color="auto"/>
                        <w:bottom w:val="none" w:sz="0" w:space="0" w:color="auto"/>
                        <w:right w:val="none" w:sz="0" w:space="0" w:color="auto"/>
                      </w:divBdr>
                      <w:divsChild>
                        <w:div w:id="183448397">
                          <w:marLeft w:val="0"/>
                          <w:marRight w:val="0"/>
                          <w:marTop w:val="0"/>
                          <w:marBottom w:val="0"/>
                          <w:divBdr>
                            <w:top w:val="none" w:sz="0" w:space="0" w:color="auto"/>
                            <w:left w:val="none" w:sz="0" w:space="0" w:color="auto"/>
                            <w:bottom w:val="none" w:sz="0" w:space="0" w:color="auto"/>
                            <w:right w:val="none" w:sz="0" w:space="0" w:color="auto"/>
                          </w:divBdr>
                          <w:divsChild>
                            <w:div w:id="1751194069">
                              <w:marLeft w:val="0"/>
                              <w:marRight w:val="0"/>
                              <w:marTop w:val="0"/>
                              <w:marBottom w:val="0"/>
                              <w:divBdr>
                                <w:top w:val="none" w:sz="0" w:space="0" w:color="auto"/>
                                <w:left w:val="none" w:sz="0" w:space="0" w:color="auto"/>
                                <w:bottom w:val="none" w:sz="0" w:space="0" w:color="auto"/>
                                <w:right w:val="none" w:sz="0" w:space="0" w:color="auto"/>
                              </w:divBdr>
                              <w:divsChild>
                                <w:div w:id="1082993309">
                                  <w:marLeft w:val="0"/>
                                  <w:marRight w:val="0"/>
                                  <w:marTop w:val="0"/>
                                  <w:marBottom w:val="0"/>
                                  <w:divBdr>
                                    <w:top w:val="none" w:sz="0" w:space="0" w:color="auto"/>
                                    <w:left w:val="none" w:sz="0" w:space="0" w:color="auto"/>
                                    <w:bottom w:val="none" w:sz="0" w:space="0" w:color="auto"/>
                                    <w:right w:val="none" w:sz="0" w:space="0" w:color="auto"/>
                                  </w:divBdr>
                                  <w:divsChild>
                                    <w:div w:id="529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7346">
                      <w:marLeft w:val="0"/>
                      <w:marRight w:val="0"/>
                      <w:marTop w:val="0"/>
                      <w:marBottom w:val="0"/>
                      <w:divBdr>
                        <w:top w:val="none" w:sz="0" w:space="0" w:color="auto"/>
                        <w:left w:val="none" w:sz="0" w:space="0" w:color="auto"/>
                        <w:bottom w:val="none" w:sz="0" w:space="0" w:color="auto"/>
                        <w:right w:val="none" w:sz="0" w:space="0" w:color="auto"/>
                      </w:divBdr>
                      <w:divsChild>
                        <w:div w:id="3562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356579">
      <w:bodyDiv w:val="1"/>
      <w:marLeft w:val="0"/>
      <w:marRight w:val="0"/>
      <w:marTop w:val="0"/>
      <w:marBottom w:val="0"/>
      <w:divBdr>
        <w:top w:val="none" w:sz="0" w:space="0" w:color="auto"/>
        <w:left w:val="none" w:sz="0" w:space="0" w:color="auto"/>
        <w:bottom w:val="none" w:sz="0" w:space="0" w:color="auto"/>
        <w:right w:val="none" w:sz="0" w:space="0" w:color="auto"/>
      </w:divBdr>
      <w:divsChild>
        <w:div w:id="1136337580">
          <w:marLeft w:val="0"/>
          <w:marRight w:val="0"/>
          <w:marTop w:val="0"/>
          <w:marBottom w:val="0"/>
          <w:divBdr>
            <w:top w:val="none" w:sz="0" w:space="0" w:color="auto"/>
            <w:left w:val="none" w:sz="0" w:space="0" w:color="auto"/>
            <w:bottom w:val="none" w:sz="0" w:space="0" w:color="auto"/>
            <w:right w:val="none" w:sz="0" w:space="0" w:color="auto"/>
          </w:divBdr>
          <w:divsChild>
            <w:div w:id="1686442614">
              <w:marLeft w:val="0"/>
              <w:marRight w:val="0"/>
              <w:marTop w:val="0"/>
              <w:marBottom w:val="0"/>
              <w:divBdr>
                <w:top w:val="none" w:sz="0" w:space="0" w:color="auto"/>
                <w:left w:val="none" w:sz="0" w:space="0" w:color="auto"/>
                <w:bottom w:val="none" w:sz="0" w:space="0" w:color="auto"/>
                <w:right w:val="none" w:sz="0" w:space="0" w:color="auto"/>
              </w:divBdr>
              <w:divsChild>
                <w:div w:id="168719194">
                  <w:marLeft w:val="0"/>
                  <w:marRight w:val="0"/>
                  <w:marTop w:val="0"/>
                  <w:marBottom w:val="0"/>
                  <w:divBdr>
                    <w:top w:val="none" w:sz="0" w:space="0" w:color="auto"/>
                    <w:left w:val="none" w:sz="0" w:space="0" w:color="auto"/>
                    <w:bottom w:val="none" w:sz="0" w:space="0" w:color="auto"/>
                    <w:right w:val="none" w:sz="0" w:space="0" w:color="auto"/>
                  </w:divBdr>
                  <w:divsChild>
                    <w:div w:id="782846955">
                      <w:marLeft w:val="0"/>
                      <w:marRight w:val="0"/>
                      <w:marTop w:val="0"/>
                      <w:marBottom w:val="0"/>
                      <w:divBdr>
                        <w:top w:val="none" w:sz="0" w:space="0" w:color="auto"/>
                        <w:left w:val="none" w:sz="0" w:space="0" w:color="auto"/>
                        <w:bottom w:val="none" w:sz="0" w:space="0" w:color="auto"/>
                        <w:right w:val="none" w:sz="0" w:space="0" w:color="auto"/>
                      </w:divBdr>
                      <w:divsChild>
                        <w:div w:id="22561361">
                          <w:marLeft w:val="0"/>
                          <w:marRight w:val="0"/>
                          <w:marTop w:val="0"/>
                          <w:marBottom w:val="0"/>
                          <w:divBdr>
                            <w:top w:val="none" w:sz="0" w:space="0" w:color="auto"/>
                            <w:left w:val="none" w:sz="0" w:space="0" w:color="auto"/>
                            <w:bottom w:val="none" w:sz="0" w:space="0" w:color="auto"/>
                            <w:right w:val="none" w:sz="0" w:space="0" w:color="auto"/>
                          </w:divBdr>
                          <w:divsChild>
                            <w:div w:id="12058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0839">
      <w:bodyDiv w:val="1"/>
      <w:marLeft w:val="0"/>
      <w:marRight w:val="0"/>
      <w:marTop w:val="0"/>
      <w:marBottom w:val="0"/>
      <w:divBdr>
        <w:top w:val="none" w:sz="0" w:space="0" w:color="auto"/>
        <w:left w:val="none" w:sz="0" w:space="0" w:color="auto"/>
        <w:bottom w:val="none" w:sz="0" w:space="0" w:color="auto"/>
        <w:right w:val="none" w:sz="0" w:space="0" w:color="auto"/>
      </w:divBdr>
    </w:div>
    <w:div w:id="644511247">
      <w:bodyDiv w:val="1"/>
      <w:marLeft w:val="0"/>
      <w:marRight w:val="0"/>
      <w:marTop w:val="0"/>
      <w:marBottom w:val="0"/>
      <w:divBdr>
        <w:top w:val="none" w:sz="0" w:space="0" w:color="auto"/>
        <w:left w:val="none" w:sz="0" w:space="0" w:color="auto"/>
        <w:bottom w:val="none" w:sz="0" w:space="0" w:color="auto"/>
        <w:right w:val="none" w:sz="0" w:space="0" w:color="auto"/>
      </w:divBdr>
      <w:divsChild>
        <w:div w:id="1193114126">
          <w:marLeft w:val="0"/>
          <w:marRight w:val="0"/>
          <w:marTop w:val="0"/>
          <w:marBottom w:val="0"/>
          <w:divBdr>
            <w:top w:val="none" w:sz="0" w:space="0" w:color="auto"/>
            <w:left w:val="none" w:sz="0" w:space="0" w:color="auto"/>
            <w:bottom w:val="none" w:sz="0" w:space="0" w:color="auto"/>
            <w:right w:val="none" w:sz="0" w:space="0" w:color="auto"/>
          </w:divBdr>
          <w:divsChild>
            <w:div w:id="860126335">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sChild>
                    <w:div w:id="103037709">
                      <w:marLeft w:val="0"/>
                      <w:marRight w:val="0"/>
                      <w:marTop w:val="0"/>
                      <w:marBottom w:val="0"/>
                      <w:divBdr>
                        <w:top w:val="none" w:sz="0" w:space="0" w:color="auto"/>
                        <w:left w:val="none" w:sz="0" w:space="0" w:color="auto"/>
                        <w:bottom w:val="none" w:sz="0" w:space="0" w:color="auto"/>
                        <w:right w:val="none" w:sz="0" w:space="0" w:color="auto"/>
                      </w:divBdr>
                      <w:divsChild>
                        <w:div w:id="1291941746">
                          <w:marLeft w:val="0"/>
                          <w:marRight w:val="0"/>
                          <w:marTop w:val="0"/>
                          <w:marBottom w:val="0"/>
                          <w:divBdr>
                            <w:top w:val="none" w:sz="0" w:space="0" w:color="auto"/>
                            <w:left w:val="none" w:sz="0" w:space="0" w:color="auto"/>
                            <w:bottom w:val="none" w:sz="0" w:space="0" w:color="auto"/>
                            <w:right w:val="none" w:sz="0" w:space="0" w:color="auto"/>
                          </w:divBdr>
                          <w:divsChild>
                            <w:div w:id="13760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7243">
      <w:bodyDiv w:val="1"/>
      <w:marLeft w:val="0"/>
      <w:marRight w:val="0"/>
      <w:marTop w:val="0"/>
      <w:marBottom w:val="0"/>
      <w:divBdr>
        <w:top w:val="none" w:sz="0" w:space="0" w:color="auto"/>
        <w:left w:val="none" w:sz="0" w:space="0" w:color="auto"/>
        <w:bottom w:val="none" w:sz="0" w:space="0" w:color="auto"/>
        <w:right w:val="none" w:sz="0" w:space="0" w:color="auto"/>
      </w:divBdr>
    </w:div>
    <w:div w:id="748619199">
      <w:bodyDiv w:val="1"/>
      <w:marLeft w:val="0"/>
      <w:marRight w:val="0"/>
      <w:marTop w:val="0"/>
      <w:marBottom w:val="0"/>
      <w:divBdr>
        <w:top w:val="none" w:sz="0" w:space="0" w:color="auto"/>
        <w:left w:val="none" w:sz="0" w:space="0" w:color="auto"/>
        <w:bottom w:val="none" w:sz="0" w:space="0" w:color="auto"/>
        <w:right w:val="none" w:sz="0" w:space="0" w:color="auto"/>
      </w:divBdr>
    </w:div>
    <w:div w:id="777797098">
      <w:bodyDiv w:val="1"/>
      <w:marLeft w:val="0"/>
      <w:marRight w:val="0"/>
      <w:marTop w:val="0"/>
      <w:marBottom w:val="0"/>
      <w:divBdr>
        <w:top w:val="none" w:sz="0" w:space="0" w:color="auto"/>
        <w:left w:val="none" w:sz="0" w:space="0" w:color="auto"/>
        <w:bottom w:val="none" w:sz="0" w:space="0" w:color="auto"/>
        <w:right w:val="none" w:sz="0" w:space="0" w:color="auto"/>
      </w:divBdr>
      <w:divsChild>
        <w:div w:id="539825048">
          <w:marLeft w:val="0"/>
          <w:marRight w:val="0"/>
          <w:marTop w:val="0"/>
          <w:marBottom w:val="0"/>
          <w:divBdr>
            <w:top w:val="none" w:sz="0" w:space="0" w:color="auto"/>
            <w:left w:val="none" w:sz="0" w:space="0" w:color="auto"/>
            <w:bottom w:val="none" w:sz="0" w:space="0" w:color="auto"/>
            <w:right w:val="none" w:sz="0" w:space="0" w:color="auto"/>
          </w:divBdr>
          <w:divsChild>
            <w:div w:id="2140805509">
              <w:marLeft w:val="0"/>
              <w:marRight w:val="0"/>
              <w:marTop w:val="0"/>
              <w:marBottom w:val="0"/>
              <w:divBdr>
                <w:top w:val="none" w:sz="0" w:space="0" w:color="auto"/>
                <w:left w:val="none" w:sz="0" w:space="0" w:color="auto"/>
                <w:bottom w:val="none" w:sz="0" w:space="0" w:color="auto"/>
                <w:right w:val="none" w:sz="0" w:space="0" w:color="auto"/>
              </w:divBdr>
              <w:divsChild>
                <w:div w:id="1301108225">
                  <w:marLeft w:val="0"/>
                  <w:marRight w:val="0"/>
                  <w:marTop w:val="0"/>
                  <w:marBottom w:val="0"/>
                  <w:divBdr>
                    <w:top w:val="none" w:sz="0" w:space="0" w:color="auto"/>
                    <w:left w:val="none" w:sz="0" w:space="0" w:color="auto"/>
                    <w:bottom w:val="none" w:sz="0" w:space="0" w:color="auto"/>
                    <w:right w:val="none" w:sz="0" w:space="0" w:color="auto"/>
                  </w:divBdr>
                  <w:divsChild>
                    <w:div w:id="1789662838">
                      <w:marLeft w:val="0"/>
                      <w:marRight w:val="0"/>
                      <w:marTop w:val="0"/>
                      <w:marBottom w:val="0"/>
                      <w:divBdr>
                        <w:top w:val="none" w:sz="0" w:space="0" w:color="auto"/>
                        <w:left w:val="none" w:sz="0" w:space="0" w:color="auto"/>
                        <w:bottom w:val="none" w:sz="0" w:space="0" w:color="auto"/>
                        <w:right w:val="none" w:sz="0" w:space="0" w:color="auto"/>
                      </w:divBdr>
                      <w:divsChild>
                        <w:div w:id="401145982">
                          <w:marLeft w:val="0"/>
                          <w:marRight w:val="0"/>
                          <w:marTop w:val="0"/>
                          <w:marBottom w:val="0"/>
                          <w:divBdr>
                            <w:top w:val="none" w:sz="0" w:space="0" w:color="auto"/>
                            <w:left w:val="none" w:sz="0" w:space="0" w:color="auto"/>
                            <w:bottom w:val="none" w:sz="0" w:space="0" w:color="auto"/>
                            <w:right w:val="none" w:sz="0" w:space="0" w:color="auto"/>
                          </w:divBdr>
                          <w:divsChild>
                            <w:div w:id="2693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0033">
      <w:bodyDiv w:val="1"/>
      <w:marLeft w:val="0"/>
      <w:marRight w:val="0"/>
      <w:marTop w:val="0"/>
      <w:marBottom w:val="0"/>
      <w:divBdr>
        <w:top w:val="none" w:sz="0" w:space="0" w:color="auto"/>
        <w:left w:val="none" w:sz="0" w:space="0" w:color="auto"/>
        <w:bottom w:val="none" w:sz="0" w:space="0" w:color="auto"/>
        <w:right w:val="none" w:sz="0" w:space="0" w:color="auto"/>
      </w:divBdr>
      <w:divsChild>
        <w:div w:id="823592721">
          <w:marLeft w:val="0"/>
          <w:marRight w:val="0"/>
          <w:marTop w:val="0"/>
          <w:marBottom w:val="0"/>
          <w:divBdr>
            <w:top w:val="none" w:sz="0" w:space="0" w:color="auto"/>
            <w:left w:val="none" w:sz="0" w:space="0" w:color="auto"/>
            <w:bottom w:val="none" w:sz="0" w:space="0" w:color="auto"/>
            <w:right w:val="none" w:sz="0" w:space="0" w:color="auto"/>
          </w:divBdr>
          <w:divsChild>
            <w:div w:id="1409575551">
              <w:marLeft w:val="0"/>
              <w:marRight w:val="0"/>
              <w:marTop w:val="0"/>
              <w:marBottom w:val="0"/>
              <w:divBdr>
                <w:top w:val="none" w:sz="0" w:space="0" w:color="auto"/>
                <w:left w:val="none" w:sz="0" w:space="0" w:color="auto"/>
                <w:bottom w:val="none" w:sz="0" w:space="0" w:color="auto"/>
                <w:right w:val="none" w:sz="0" w:space="0" w:color="auto"/>
              </w:divBdr>
              <w:divsChild>
                <w:div w:id="2012829140">
                  <w:marLeft w:val="0"/>
                  <w:marRight w:val="0"/>
                  <w:marTop w:val="0"/>
                  <w:marBottom w:val="0"/>
                  <w:divBdr>
                    <w:top w:val="none" w:sz="0" w:space="0" w:color="auto"/>
                    <w:left w:val="none" w:sz="0" w:space="0" w:color="auto"/>
                    <w:bottom w:val="none" w:sz="0" w:space="0" w:color="auto"/>
                    <w:right w:val="none" w:sz="0" w:space="0" w:color="auto"/>
                  </w:divBdr>
                  <w:divsChild>
                    <w:div w:id="1299143876">
                      <w:marLeft w:val="0"/>
                      <w:marRight w:val="0"/>
                      <w:marTop w:val="0"/>
                      <w:marBottom w:val="0"/>
                      <w:divBdr>
                        <w:top w:val="none" w:sz="0" w:space="0" w:color="auto"/>
                        <w:left w:val="none" w:sz="0" w:space="0" w:color="auto"/>
                        <w:bottom w:val="none" w:sz="0" w:space="0" w:color="auto"/>
                        <w:right w:val="none" w:sz="0" w:space="0" w:color="auto"/>
                      </w:divBdr>
                      <w:divsChild>
                        <w:div w:id="715550066">
                          <w:marLeft w:val="0"/>
                          <w:marRight w:val="0"/>
                          <w:marTop w:val="0"/>
                          <w:marBottom w:val="0"/>
                          <w:divBdr>
                            <w:top w:val="none" w:sz="0" w:space="0" w:color="auto"/>
                            <w:left w:val="none" w:sz="0" w:space="0" w:color="auto"/>
                            <w:bottom w:val="none" w:sz="0" w:space="0" w:color="auto"/>
                            <w:right w:val="none" w:sz="0" w:space="0" w:color="auto"/>
                          </w:divBdr>
                          <w:divsChild>
                            <w:div w:id="16789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044617">
      <w:bodyDiv w:val="1"/>
      <w:marLeft w:val="0"/>
      <w:marRight w:val="0"/>
      <w:marTop w:val="0"/>
      <w:marBottom w:val="0"/>
      <w:divBdr>
        <w:top w:val="none" w:sz="0" w:space="0" w:color="auto"/>
        <w:left w:val="none" w:sz="0" w:space="0" w:color="auto"/>
        <w:bottom w:val="none" w:sz="0" w:space="0" w:color="auto"/>
        <w:right w:val="none" w:sz="0" w:space="0" w:color="auto"/>
      </w:divBdr>
    </w:div>
    <w:div w:id="855463475">
      <w:bodyDiv w:val="1"/>
      <w:marLeft w:val="0"/>
      <w:marRight w:val="0"/>
      <w:marTop w:val="0"/>
      <w:marBottom w:val="0"/>
      <w:divBdr>
        <w:top w:val="none" w:sz="0" w:space="0" w:color="auto"/>
        <w:left w:val="none" w:sz="0" w:space="0" w:color="auto"/>
        <w:bottom w:val="none" w:sz="0" w:space="0" w:color="auto"/>
        <w:right w:val="none" w:sz="0" w:space="0" w:color="auto"/>
      </w:divBdr>
    </w:div>
    <w:div w:id="856966459">
      <w:bodyDiv w:val="1"/>
      <w:marLeft w:val="0"/>
      <w:marRight w:val="0"/>
      <w:marTop w:val="0"/>
      <w:marBottom w:val="0"/>
      <w:divBdr>
        <w:top w:val="none" w:sz="0" w:space="0" w:color="auto"/>
        <w:left w:val="none" w:sz="0" w:space="0" w:color="auto"/>
        <w:bottom w:val="none" w:sz="0" w:space="0" w:color="auto"/>
        <w:right w:val="none" w:sz="0" w:space="0" w:color="auto"/>
      </w:divBdr>
      <w:divsChild>
        <w:div w:id="615404131">
          <w:marLeft w:val="0"/>
          <w:marRight w:val="0"/>
          <w:marTop w:val="0"/>
          <w:marBottom w:val="0"/>
          <w:divBdr>
            <w:top w:val="none" w:sz="0" w:space="0" w:color="auto"/>
            <w:left w:val="none" w:sz="0" w:space="0" w:color="auto"/>
            <w:bottom w:val="none" w:sz="0" w:space="0" w:color="auto"/>
            <w:right w:val="none" w:sz="0" w:space="0" w:color="auto"/>
          </w:divBdr>
          <w:divsChild>
            <w:div w:id="1720014832">
              <w:marLeft w:val="0"/>
              <w:marRight w:val="0"/>
              <w:marTop w:val="0"/>
              <w:marBottom w:val="0"/>
              <w:divBdr>
                <w:top w:val="none" w:sz="0" w:space="0" w:color="auto"/>
                <w:left w:val="none" w:sz="0" w:space="0" w:color="auto"/>
                <w:bottom w:val="none" w:sz="0" w:space="0" w:color="auto"/>
                <w:right w:val="none" w:sz="0" w:space="0" w:color="auto"/>
              </w:divBdr>
              <w:divsChild>
                <w:div w:id="1063985327">
                  <w:marLeft w:val="0"/>
                  <w:marRight w:val="0"/>
                  <w:marTop w:val="0"/>
                  <w:marBottom w:val="0"/>
                  <w:divBdr>
                    <w:top w:val="none" w:sz="0" w:space="0" w:color="auto"/>
                    <w:left w:val="none" w:sz="0" w:space="0" w:color="auto"/>
                    <w:bottom w:val="none" w:sz="0" w:space="0" w:color="auto"/>
                    <w:right w:val="none" w:sz="0" w:space="0" w:color="auto"/>
                  </w:divBdr>
                  <w:divsChild>
                    <w:div w:id="1190488683">
                      <w:marLeft w:val="0"/>
                      <w:marRight w:val="0"/>
                      <w:marTop w:val="0"/>
                      <w:marBottom w:val="0"/>
                      <w:divBdr>
                        <w:top w:val="none" w:sz="0" w:space="0" w:color="auto"/>
                        <w:left w:val="none" w:sz="0" w:space="0" w:color="auto"/>
                        <w:bottom w:val="none" w:sz="0" w:space="0" w:color="auto"/>
                        <w:right w:val="none" w:sz="0" w:space="0" w:color="auto"/>
                      </w:divBdr>
                      <w:divsChild>
                        <w:div w:id="91895857">
                          <w:marLeft w:val="0"/>
                          <w:marRight w:val="0"/>
                          <w:marTop w:val="0"/>
                          <w:marBottom w:val="0"/>
                          <w:divBdr>
                            <w:top w:val="none" w:sz="0" w:space="0" w:color="auto"/>
                            <w:left w:val="none" w:sz="0" w:space="0" w:color="auto"/>
                            <w:bottom w:val="none" w:sz="0" w:space="0" w:color="auto"/>
                            <w:right w:val="none" w:sz="0" w:space="0" w:color="auto"/>
                          </w:divBdr>
                          <w:divsChild>
                            <w:div w:id="1080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99733">
      <w:bodyDiv w:val="1"/>
      <w:marLeft w:val="0"/>
      <w:marRight w:val="0"/>
      <w:marTop w:val="0"/>
      <w:marBottom w:val="0"/>
      <w:divBdr>
        <w:top w:val="none" w:sz="0" w:space="0" w:color="auto"/>
        <w:left w:val="none" w:sz="0" w:space="0" w:color="auto"/>
        <w:bottom w:val="none" w:sz="0" w:space="0" w:color="auto"/>
        <w:right w:val="none" w:sz="0" w:space="0" w:color="auto"/>
      </w:divBdr>
      <w:divsChild>
        <w:div w:id="664554866">
          <w:marLeft w:val="0"/>
          <w:marRight w:val="0"/>
          <w:marTop w:val="0"/>
          <w:marBottom w:val="0"/>
          <w:divBdr>
            <w:top w:val="none" w:sz="0" w:space="0" w:color="auto"/>
            <w:left w:val="none" w:sz="0" w:space="0" w:color="auto"/>
            <w:bottom w:val="none" w:sz="0" w:space="0" w:color="auto"/>
            <w:right w:val="none" w:sz="0" w:space="0" w:color="auto"/>
          </w:divBdr>
          <w:divsChild>
            <w:div w:id="983437771">
              <w:marLeft w:val="0"/>
              <w:marRight w:val="0"/>
              <w:marTop w:val="0"/>
              <w:marBottom w:val="0"/>
              <w:divBdr>
                <w:top w:val="none" w:sz="0" w:space="0" w:color="auto"/>
                <w:left w:val="none" w:sz="0" w:space="0" w:color="auto"/>
                <w:bottom w:val="none" w:sz="0" w:space="0" w:color="auto"/>
                <w:right w:val="none" w:sz="0" w:space="0" w:color="auto"/>
              </w:divBdr>
              <w:divsChild>
                <w:div w:id="302584561">
                  <w:marLeft w:val="0"/>
                  <w:marRight w:val="0"/>
                  <w:marTop w:val="0"/>
                  <w:marBottom w:val="0"/>
                  <w:divBdr>
                    <w:top w:val="none" w:sz="0" w:space="0" w:color="auto"/>
                    <w:left w:val="none" w:sz="0" w:space="0" w:color="auto"/>
                    <w:bottom w:val="none" w:sz="0" w:space="0" w:color="auto"/>
                    <w:right w:val="none" w:sz="0" w:space="0" w:color="auto"/>
                  </w:divBdr>
                  <w:divsChild>
                    <w:div w:id="1335960636">
                      <w:marLeft w:val="0"/>
                      <w:marRight w:val="0"/>
                      <w:marTop w:val="0"/>
                      <w:marBottom w:val="0"/>
                      <w:divBdr>
                        <w:top w:val="none" w:sz="0" w:space="0" w:color="auto"/>
                        <w:left w:val="none" w:sz="0" w:space="0" w:color="auto"/>
                        <w:bottom w:val="none" w:sz="0" w:space="0" w:color="auto"/>
                        <w:right w:val="none" w:sz="0" w:space="0" w:color="auto"/>
                      </w:divBdr>
                      <w:divsChild>
                        <w:div w:id="1015500204">
                          <w:marLeft w:val="0"/>
                          <w:marRight w:val="0"/>
                          <w:marTop w:val="0"/>
                          <w:marBottom w:val="0"/>
                          <w:divBdr>
                            <w:top w:val="none" w:sz="0" w:space="0" w:color="auto"/>
                            <w:left w:val="none" w:sz="0" w:space="0" w:color="auto"/>
                            <w:bottom w:val="none" w:sz="0" w:space="0" w:color="auto"/>
                            <w:right w:val="none" w:sz="0" w:space="0" w:color="auto"/>
                          </w:divBdr>
                          <w:divsChild>
                            <w:div w:id="1186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5185">
      <w:bodyDiv w:val="1"/>
      <w:marLeft w:val="0"/>
      <w:marRight w:val="0"/>
      <w:marTop w:val="0"/>
      <w:marBottom w:val="0"/>
      <w:divBdr>
        <w:top w:val="none" w:sz="0" w:space="0" w:color="auto"/>
        <w:left w:val="none" w:sz="0" w:space="0" w:color="auto"/>
        <w:bottom w:val="none" w:sz="0" w:space="0" w:color="auto"/>
        <w:right w:val="none" w:sz="0" w:space="0" w:color="auto"/>
      </w:divBdr>
    </w:div>
    <w:div w:id="942103679">
      <w:bodyDiv w:val="1"/>
      <w:marLeft w:val="0"/>
      <w:marRight w:val="0"/>
      <w:marTop w:val="0"/>
      <w:marBottom w:val="0"/>
      <w:divBdr>
        <w:top w:val="none" w:sz="0" w:space="0" w:color="auto"/>
        <w:left w:val="none" w:sz="0" w:space="0" w:color="auto"/>
        <w:bottom w:val="none" w:sz="0" w:space="0" w:color="auto"/>
        <w:right w:val="none" w:sz="0" w:space="0" w:color="auto"/>
      </w:divBdr>
      <w:divsChild>
        <w:div w:id="717707722">
          <w:marLeft w:val="0"/>
          <w:marRight w:val="0"/>
          <w:marTop w:val="0"/>
          <w:marBottom w:val="0"/>
          <w:divBdr>
            <w:top w:val="none" w:sz="0" w:space="0" w:color="auto"/>
            <w:left w:val="none" w:sz="0" w:space="0" w:color="auto"/>
            <w:bottom w:val="none" w:sz="0" w:space="0" w:color="auto"/>
            <w:right w:val="none" w:sz="0" w:space="0" w:color="auto"/>
          </w:divBdr>
          <w:divsChild>
            <w:div w:id="1328677732">
              <w:marLeft w:val="0"/>
              <w:marRight w:val="0"/>
              <w:marTop w:val="0"/>
              <w:marBottom w:val="0"/>
              <w:divBdr>
                <w:top w:val="none" w:sz="0" w:space="0" w:color="auto"/>
                <w:left w:val="none" w:sz="0" w:space="0" w:color="auto"/>
                <w:bottom w:val="none" w:sz="0" w:space="0" w:color="auto"/>
                <w:right w:val="none" w:sz="0" w:space="0" w:color="auto"/>
              </w:divBdr>
              <w:divsChild>
                <w:div w:id="43255377">
                  <w:marLeft w:val="0"/>
                  <w:marRight w:val="0"/>
                  <w:marTop w:val="0"/>
                  <w:marBottom w:val="0"/>
                  <w:divBdr>
                    <w:top w:val="none" w:sz="0" w:space="0" w:color="auto"/>
                    <w:left w:val="none" w:sz="0" w:space="0" w:color="auto"/>
                    <w:bottom w:val="none" w:sz="0" w:space="0" w:color="auto"/>
                    <w:right w:val="none" w:sz="0" w:space="0" w:color="auto"/>
                  </w:divBdr>
                  <w:divsChild>
                    <w:div w:id="768699336">
                      <w:marLeft w:val="0"/>
                      <w:marRight w:val="0"/>
                      <w:marTop w:val="0"/>
                      <w:marBottom w:val="0"/>
                      <w:divBdr>
                        <w:top w:val="none" w:sz="0" w:space="0" w:color="auto"/>
                        <w:left w:val="none" w:sz="0" w:space="0" w:color="auto"/>
                        <w:bottom w:val="none" w:sz="0" w:space="0" w:color="auto"/>
                        <w:right w:val="none" w:sz="0" w:space="0" w:color="auto"/>
                      </w:divBdr>
                      <w:divsChild>
                        <w:div w:id="4478146">
                          <w:marLeft w:val="0"/>
                          <w:marRight w:val="0"/>
                          <w:marTop w:val="0"/>
                          <w:marBottom w:val="0"/>
                          <w:divBdr>
                            <w:top w:val="none" w:sz="0" w:space="0" w:color="auto"/>
                            <w:left w:val="none" w:sz="0" w:space="0" w:color="auto"/>
                            <w:bottom w:val="none" w:sz="0" w:space="0" w:color="auto"/>
                            <w:right w:val="none" w:sz="0" w:space="0" w:color="auto"/>
                          </w:divBdr>
                          <w:divsChild>
                            <w:div w:id="5240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953719">
      <w:bodyDiv w:val="1"/>
      <w:marLeft w:val="0"/>
      <w:marRight w:val="0"/>
      <w:marTop w:val="0"/>
      <w:marBottom w:val="0"/>
      <w:divBdr>
        <w:top w:val="none" w:sz="0" w:space="0" w:color="auto"/>
        <w:left w:val="none" w:sz="0" w:space="0" w:color="auto"/>
        <w:bottom w:val="none" w:sz="0" w:space="0" w:color="auto"/>
        <w:right w:val="none" w:sz="0" w:space="0" w:color="auto"/>
      </w:divBdr>
      <w:divsChild>
        <w:div w:id="334573723">
          <w:marLeft w:val="0"/>
          <w:marRight w:val="0"/>
          <w:marTop w:val="0"/>
          <w:marBottom w:val="0"/>
          <w:divBdr>
            <w:top w:val="none" w:sz="0" w:space="0" w:color="auto"/>
            <w:left w:val="none" w:sz="0" w:space="0" w:color="auto"/>
            <w:bottom w:val="none" w:sz="0" w:space="0" w:color="auto"/>
            <w:right w:val="none" w:sz="0" w:space="0" w:color="auto"/>
          </w:divBdr>
          <w:divsChild>
            <w:div w:id="990788823">
              <w:marLeft w:val="0"/>
              <w:marRight w:val="0"/>
              <w:marTop w:val="0"/>
              <w:marBottom w:val="0"/>
              <w:divBdr>
                <w:top w:val="none" w:sz="0" w:space="0" w:color="auto"/>
                <w:left w:val="none" w:sz="0" w:space="0" w:color="auto"/>
                <w:bottom w:val="none" w:sz="0" w:space="0" w:color="auto"/>
                <w:right w:val="none" w:sz="0" w:space="0" w:color="auto"/>
              </w:divBdr>
              <w:divsChild>
                <w:div w:id="90128964">
                  <w:marLeft w:val="0"/>
                  <w:marRight w:val="0"/>
                  <w:marTop w:val="0"/>
                  <w:marBottom w:val="0"/>
                  <w:divBdr>
                    <w:top w:val="none" w:sz="0" w:space="0" w:color="auto"/>
                    <w:left w:val="none" w:sz="0" w:space="0" w:color="auto"/>
                    <w:bottom w:val="none" w:sz="0" w:space="0" w:color="auto"/>
                    <w:right w:val="none" w:sz="0" w:space="0" w:color="auto"/>
                  </w:divBdr>
                  <w:divsChild>
                    <w:div w:id="1832329298">
                      <w:marLeft w:val="0"/>
                      <w:marRight w:val="0"/>
                      <w:marTop w:val="0"/>
                      <w:marBottom w:val="0"/>
                      <w:divBdr>
                        <w:top w:val="none" w:sz="0" w:space="0" w:color="auto"/>
                        <w:left w:val="none" w:sz="0" w:space="0" w:color="auto"/>
                        <w:bottom w:val="none" w:sz="0" w:space="0" w:color="auto"/>
                        <w:right w:val="none" w:sz="0" w:space="0" w:color="auto"/>
                      </w:divBdr>
                      <w:divsChild>
                        <w:div w:id="289871666">
                          <w:marLeft w:val="0"/>
                          <w:marRight w:val="0"/>
                          <w:marTop w:val="0"/>
                          <w:marBottom w:val="0"/>
                          <w:divBdr>
                            <w:top w:val="none" w:sz="0" w:space="0" w:color="auto"/>
                            <w:left w:val="none" w:sz="0" w:space="0" w:color="auto"/>
                            <w:bottom w:val="none" w:sz="0" w:space="0" w:color="auto"/>
                            <w:right w:val="none" w:sz="0" w:space="0" w:color="auto"/>
                          </w:divBdr>
                          <w:divsChild>
                            <w:div w:id="12096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155">
      <w:bodyDiv w:val="1"/>
      <w:marLeft w:val="0"/>
      <w:marRight w:val="0"/>
      <w:marTop w:val="0"/>
      <w:marBottom w:val="0"/>
      <w:divBdr>
        <w:top w:val="none" w:sz="0" w:space="0" w:color="auto"/>
        <w:left w:val="none" w:sz="0" w:space="0" w:color="auto"/>
        <w:bottom w:val="none" w:sz="0" w:space="0" w:color="auto"/>
        <w:right w:val="none" w:sz="0" w:space="0" w:color="auto"/>
      </w:divBdr>
      <w:divsChild>
        <w:div w:id="57215785">
          <w:marLeft w:val="0"/>
          <w:marRight w:val="0"/>
          <w:marTop w:val="0"/>
          <w:marBottom w:val="0"/>
          <w:divBdr>
            <w:top w:val="none" w:sz="0" w:space="0" w:color="auto"/>
            <w:left w:val="none" w:sz="0" w:space="0" w:color="auto"/>
            <w:bottom w:val="none" w:sz="0" w:space="0" w:color="auto"/>
            <w:right w:val="none" w:sz="0" w:space="0" w:color="auto"/>
          </w:divBdr>
          <w:divsChild>
            <w:div w:id="1920091324">
              <w:marLeft w:val="0"/>
              <w:marRight w:val="0"/>
              <w:marTop w:val="0"/>
              <w:marBottom w:val="0"/>
              <w:divBdr>
                <w:top w:val="none" w:sz="0" w:space="0" w:color="auto"/>
                <w:left w:val="none" w:sz="0" w:space="0" w:color="auto"/>
                <w:bottom w:val="none" w:sz="0" w:space="0" w:color="auto"/>
                <w:right w:val="none" w:sz="0" w:space="0" w:color="auto"/>
              </w:divBdr>
              <w:divsChild>
                <w:div w:id="1856797207">
                  <w:marLeft w:val="0"/>
                  <w:marRight w:val="0"/>
                  <w:marTop w:val="0"/>
                  <w:marBottom w:val="0"/>
                  <w:divBdr>
                    <w:top w:val="none" w:sz="0" w:space="0" w:color="auto"/>
                    <w:left w:val="none" w:sz="0" w:space="0" w:color="auto"/>
                    <w:bottom w:val="none" w:sz="0" w:space="0" w:color="auto"/>
                    <w:right w:val="none" w:sz="0" w:space="0" w:color="auto"/>
                  </w:divBdr>
                  <w:divsChild>
                    <w:div w:id="1497376677">
                      <w:marLeft w:val="0"/>
                      <w:marRight w:val="0"/>
                      <w:marTop w:val="0"/>
                      <w:marBottom w:val="0"/>
                      <w:divBdr>
                        <w:top w:val="none" w:sz="0" w:space="0" w:color="auto"/>
                        <w:left w:val="none" w:sz="0" w:space="0" w:color="auto"/>
                        <w:bottom w:val="none" w:sz="0" w:space="0" w:color="auto"/>
                        <w:right w:val="none" w:sz="0" w:space="0" w:color="auto"/>
                      </w:divBdr>
                      <w:divsChild>
                        <w:div w:id="1152215029">
                          <w:marLeft w:val="0"/>
                          <w:marRight w:val="0"/>
                          <w:marTop w:val="0"/>
                          <w:marBottom w:val="0"/>
                          <w:divBdr>
                            <w:top w:val="none" w:sz="0" w:space="0" w:color="auto"/>
                            <w:left w:val="none" w:sz="0" w:space="0" w:color="auto"/>
                            <w:bottom w:val="none" w:sz="0" w:space="0" w:color="auto"/>
                            <w:right w:val="none" w:sz="0" w:space="0" w:color="auto"/>
                          </w:divBdr>
                          <w:divsChild>
                            <w:div w:id="1630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83690">
      <w:bodyDiv w:val="1"/>
      <w:marLeft w:val="0"/>
      <w:marRight w:val="0"/>
      <w:marTop w:val="0"/>
      <w:marBottom w:val="0"/>
      <w:divBdr>
        <w:top w:val="none" w:sz="0" w:space="0" w:color="auto"/>
        <w:left w:val="none" w:sz="0" w:space="0" w:color="auto"/>
        <w:bottom w:val="none" w:sz="0" w:space="0" w:color="auto"/>
        <w:right w:val="none" w:sz="0" w:space="0" w:color="auto"/>
      </w:divBdr>
    </w:div>
    <w:div w:id="1032534945">
      <w:bodyDiv w:val="1"/>
      <w:marLeft w:val="0"/>
      <w:marRight w:val="0"/>
      <w:marTop w:val="0"/>
      <w:marBottom w:val="0"/>
      <w:divBdr>
        <w:top w:val="none" w:sz="0" w:space="0" w:color="auto"/>
        <w:left w:val="none" w:sz="0" w:space="0" w:color="auto"/>
        <w:bottom w:val="none" w:sz="0" w:space="0" w:color="auto"/>
        <w:right w:val="none" w:sz="0" w:space="0" w:color="auto"/>
      </w:divBdr>
      <w:divsChild>
        <w:div w:id="2121141167">
          <w:marLeft w:val="0"/>
          <w:marRight w:val="0"/>
          <w:marTop w:val="0"/>
          <w:marBottom w:val="0"/>
          <w:divBdr>
            <w:top w:val="none" w:sz="0" w:space="0" w:color="auto"/>
            <w:left w:val="none" w:sz="0" w:space="0" w:color="auto"/>
            <w:bottom w:val="none" w:sz="0" w:space="0" w:color="auto"/>
            <w:right w:val="none" w:sz="0" w:space="0" w:color="auto"/>
          </w:divBdr>
          <w:divsChild>
            <w:div w:id="800149619">
              <w:marLeft w:val="0"/>
              <w:marRight w:val="0"/>
              <w:marTop w:val="0"/>
              <w:marBottom w:val="0"/>
              <w:divBdr>
                <w:top w:val="none" w:sz="0" w:space="0" w:color="auto"/>
                <w:left w:val="none" w:sz="0" w:space="0" w:color="auto"/>
                <w:bottom w:val="none" w:sz="0" w:space="0" w:color="auto"/>
                <w:right w:val="none" w:sz="0" w:space="0" w:color="auto"/>
              </w:divBdr>
              <w:divsChild>
                <w:div w:id="261380961">
                  <w:marLeft w:val="0"/>
                  <w:marRight w:val="0"/>
                  <w:marTop w:val="0"/>
                  <w:marBottom w:val="0"/>
                  <w:divBdr>
                    <w:top w:val="none" w:sz="0" w:space="0" w:color="auto"/>
                    <w:left w:val="none" w:sz="0" w:space="0" w:color="auto"/>
                    <w:bottom w:val="none" w:sz="0" w:space="0" w:color="auto"/>
                    <w:right w:val="none" w:sz="0" w:space="0" w:color="auto"/>
                  </w:divBdr>
                  <w:divsChild>
                    <w:div w:id="234245749">
                      <w:marLeft w:val="0"/>
                      <w:marRight w:val="0"/>
                      <w:marTop w:val="0"/>
                      <w:marBottom w:val="0"/>
                      <w:divBdr>
                        <w:top w:val="none" w:sz="0" w:space="0" w:color="auto"/>
                        <w:left w:val="none" w:sz="0" w:space="0" w:color="auto"/>
                        <w:bottom w:val="none" w:sz="0" w:space="0" w:color="auto"/>
                        <w:right w:val="none" w:sz="0" w:space="0" w:color="auto"/>
                      </w:divBdr>
                      <w:divsChild>
                        <w:div w:id="1424716308">
                          <w:marLeft w:val="0"/>
                          <w:marRight w:val="0"/>
                          <w:marTop w:val="0"/>
                          <w:marBottom w:val="0"/>
                          <w:divBdr>
                            <w:top w:val="none" w:sz="0" w:space="0" w:color="auto"/>
                            <w:left w:val="none" w:sz="0" w:space="0" w:color="auto"/>
                            <w:bottom w:val="none" w:sz="0" w:space="0" w:color="auto"/>
                            <w:right w:val="none" w:sz="0" w:space="0" w:color="auto"/>
                          </w:divBdr>
                          <w:divsChild>
                            <w:div w:id="4769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62590">
      <w:bodyDiv w:val="1"/>
      <w:marLeft w:val="0"/>
      <w:marRight w:val="0"/>
      <w:marTop w:val="0"/>
      <w:marBottom w:val="0"/>
      <w:divBdr>
        <w:top w:val="none" w:sz="0" w:space="0" w:color="auto"/>
        <w:left w:val="none" w:sz="0" w:space="0" w:color="auto"/>
        <w:bottom w:val="none" w:sz="0" w:space="0" w:color="auto"/>
        <w:right w:val="none" w:sz="0" w:space="0" w:color="auto"/>
      </w:divBdr>
    </w:div>
    <w:div w:id="1059473445">
      <w:bodyDiv w:val="1"/>
      <w:marLeft w:val="0"/>
      <w:marRight w:val="0"/>
      <w:marTop w:val="0"/>
      <w:marBottom w:val="0"/>
      <w:divBdr>
        <w:top w:val="none" w:sz="0" w:space="0" w:color="auto"/>
        <w:left w:val="none" w:sz="0" w:space="0" w:color="auto"/>
        <w:bottom w:val="none" w:sz="0" w:space="0" w:color="auto"/>
        <w:right w:val="none" w:sz="0" w:space="0" w:color="auto"/>
      </w:divBdr>
      <w:divsChild>
        <w:div w:id="525411105">
          <w:marLeft w:val="0"/>
          <w:marRight w:val="0"/>
          <w:marTop w:val="0"/>
          <w:marBottom w:val="0"/>
          <w:divBdr>
            <w:top w:val="none" w:sz="0" w:space="0" w:color="auto"/>
            <w:left w:val="none" w:sz="0" w:space="0" w:color="auto"/>
            <w:bottom w:val="none" w:sz="0" w:space="0" w:color="auto"/>
            <w:right w:val="none" w:sz="0" w:space="0" w:color="auto"/>
          </w:divBdr>
          <w:divsChild>
            <w:div w:id="714505686">
              <w:marLeft w:val="0"/>
              <w:marRight w:val="0"/>
              <w:marTop w:val="0"/>
              <w:marBottom w:val="0"/>
              <w:divBdr>
                <w:top w:val="none" w:sz="0" w:space="0" w:color="auto"/>
                <w:left w:val="none" w:sz="0" w:space="0" w:color="auto"/>
                <w:bottom w:val="none" w:sz="0" w:space="0" w:color="auto"/>
                <w:right w:val="none" w:sz="0" w:space="0" w:color="auto"/>
              </w:divBdr>
              <w:divsChild>
                <w:div w:id="1894583294">
                  <w:marLeft w:val="0"/>
                  <w:marRight w:val="0"/>
                  <w:marTop w:val="0"/>
                  <w:marBottom w:val="0"/>
                  <w:divBdr>
                    <w:top w:val="none" w:sz="0" w:space="0" w:color="auto"/>
                    <w:left w:val="none" w:sz="0" w:space="0" w:color="auto"/>
                    <w:bottom w:val="none" w:sz="0" w:space="0" w:color="auto"/>
                    <w:right w:val="none" w:sz="0" w:space="0" w:color="auto"/>
                  </w:divBdr>
                  <w:divsChild>
                    <w:div w:id="1114666395">
                      <w:marLeft w:val="0"/>
                      <w:marRight w:val="0"/>
                      <w:marTop w:val="0"/>
                      <w:marBottom w:val="0"/>
                      <w:divBdr>
                        <w:top w:val="none" w:sz="0" w:space="0" w:color="auto"/>
                        <w:left w:val="none" w:sz="0" w:space="0" w:color="auto"/>
                        <w:bottom w:val="none" w:sz="0" w:space="0" w:color="auto"/>
                        <w:right w:val="none" w:sz="0" w:space="0" w:color="auto"/>
                      </w:divBdr>
                      <w:divsChild>
                        <w:div w:id="861289121">
                          <w:marLeft w:val="0"/>
                          <w:marRight w:val="0"/>
                          <w:marTop w:val="0"/>
                          <w:marBottom w:val="0"/>
                          <w:divBdr>
                            <w:top w:val="none" w:sz="0" w:space="0" w:color="auto"/>
                            <w:left w:val="none" w:sz="0" w:space="0" w:color="auto"/>
                            <w:bottom w:val="none" w:sz="0" w:space="0" w:color="auto"/>
                            <w:right w:val="none" w:sz="0" w:space="0" w:color="auto"/>
                          </w:divBdr>
                          <w:divsChild>
                            <w:div w:id="15851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49259">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185049553">
      <w:bodyDiv w:val="1"/>
      <w:marLeft w:val="0"/>
      <w:marRight w:val="0"/>
      <w:marTop w:val="0"/>
      <w:marBottom w:val="0"/>
      <w:divBdr>
        <w:top w:val="none" w:sz="0" w:space="0" w:color="auto"/>
        <w:left w:val="none" w:sz="0" w:space="0" w:color="auto"/>
        <w:bottom w:val="none" w:sz="0" w:space="0" w:color="auto"/>
        <w:right w:val="none" w:sz="0" w:space="0" w:color="auto"/>
      </w:divBdr>
      <w:divsChild>
        <w:div w:id="732316125">
          <w:marLeft w:val="0"/>
          <w:marRight w:val="0"/>
          <w:marTop w:val="0"/>
          <w:marBottom w:val="0"/>
          <w:divBdr>
            <w:top w:val="none" w:sz="0" w:space="0" w:color="auto"/>
            <w:left w:val="none" w:sz="0" w:space="0" w:color="auto"/>
            <w:bottom w:val="none" w:sz="0" w:space="0" w:color="auto"/>
            <w:right w:val="none" w:sz="0" w:space="0" w:color="auto"/>
          </w:divBdr>
          <w:divsChild>
            <w:div w:id="2118911651">
              <w:marLeft w:val="0"/>
              <w:marRight w:val="0"/>
              <w:marTop w:val="0"/>
              <w:marBottom w:val="0"/>
              <w:divBdr>
                <w:top w:val="none" w:sz="0" w:space="0" w:color="auto"/>
                <w:left w:val="none" w:sz="0" w:space="0" w:color="auto"/>
                <w:bottom w:val="none" w:sz="0" w:space="0" w:color="auto"/>
                <w:right w:val="none" w:sz="0" w:space="0" w:color="auto"/>
              </w:divBdr>
              <w:divsChild>
                <w:div w:id="655063122">
                  <w:marLeft w:val="0"/>
                  <w:marRight w:val="0"/>
                  <w:marTop w:val="0"/>
                  <w:marBottom w:val="0"/>
                  <w:divBdr>
                    <w:top w:val="none" w:sz="0" w:space="0" w:color="auto"/>
                    <w:left w:val="none" w:sz="0" w:space="0" w:color="auto"/>
                    <w:bottom w:val="none" w:sz="0" w:space="0" w:color="auto"/>
                    <w:right w:val="none" w:sz="0" w:space="0" w:color="auto"/>
                  </w:divBdr>
                  <w:divsChild>
                    <w:div w:id="6813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4673">
      <w:bodyDiv w:val="1"/>
      <w:marLeft w:val="0"/>
      <w:marRight w:val="0"/>
      <w:marTop w:val="0"/>
      <w:marBottom w:val="0"/>
      <w:divBdr>
        <w:top w:val="none" w:sz="0" w:space="0" w:color="auto"/>
        <w:left w:val="none" w:sz="0" w:space="0" w:color="auto"/>
        <w:bottom w:val="none" w:sz="0" w:space="0" w:color="auto"/>
        <w:right w:val="none" w:sz="0" w:space="0" w:color="auto"/>
      </w:divBdr>
    </w:div>
    <w:div w:id="1217667963">
      <w:bodyDiv w:val="1"/>
      <w:marLeft w:val="0"/>
      <w:marRight w:val="0"/>
      <w:marTop w:val="0"/>
      <w:marBottom w:val="0"/>
      <w:divBdr>
        <w:top w:val="none" w:sz="0" w:space="0" w:color="auto"/>
        <w:left w:val="none" w:sz="0" w:space="0" w:color="auto"/>
        <w:bottom w:val="none" w:sz="0" w:space="0" w:color="auto"/>
        <w:right w:val="none" w:sz="0" w:space="0" w:color="auto"/>
      </w:divBdr>
    </w:div>
    <w:div w:id="1373112718">
      <w:bodyDiv w:val="1"/>
      <w:marLeft w:val="0"/>
      <w:marRight w:val="0"/>
      <w:marTop w:val="0"/>
      <w:marBottom w:val="0"/>
      <w:divBdr>
        <w:top w:val="none" w:sz="0" w:space="0" w:color="auto"/>
        <w:left w:val="none" w:sz="0" w:space="0" w:color="auto"/>
        <w:bottom w:val="none" w:sz="0" w:space="0" w:color="auto"/>
        <w:right w:val="none" w:sz="0" w:space="0" w:color="auto"/>
      </w:divBdr>
      <w:divsChild>
        <w:div w:id="356086170">
          <w:marLeft w:val="0"/>
          <w:marRight w:val="0"/>
          <w:marTop w:val="0"/>
          <w:marBottom w:val="0"/>
          <w:divBdr>
            <w:top w:val="none" w:sz="0" w:space="0" w:color="auto"/>
            <w:left w:val="none" w:sz="0" w:space="0" w:color="auto"/>
            <w:bottom w:val="none" w:sz="0" w:space="0" w:color="auto"/>
            <w:right w:val="none" w:sz="0" w:space="0" w:color="auto"/>
          </w:divBdr>
          <w:divsChild>
            <w:div w:id="1744333101">
              <w:marLeft w:val="0"/>
              <w:marRight w:val="0"/>
              <w:marTop w:val="0"/>
              <w:marBottom w:val="0"/>
              <w:divBdr>
                <w:top w:val="none" w:sz="0" w:space="0" w:color="auto"/>
                <w:left w:val="none" w:sz="0" w:space="0" w:color="auto"/>
                <w:bottom w:val="none" w:sz="0" w:space="0" w:color="auto"/>
                <w:right w:val="none" w:sz="0" w:space="0" w:color="auto"/>
              </w:divBdr>
              <w:divsChild>
                <w:div w:id="769786793">
                  <w:marLeft w:val="0"/>
                  <w:marRight w:val="0"/>
                  <w:marTop w:val="0"/>
                  <w:marBottom w:val="0"/>
                  <w:divBdr>
                    <w:top w:val="none" w:sz="0" w:space="0" w:color="auto"/>
                    <w:left w:val="none" w:sz="0" w:space="0" w:color="auto"/>
                    <w:bottom w:val="none" w:sz="0" w:space="0" w:color="auto"/>
                    <w:right w:val="none" w:sz="0" w:space="0" w:color="auto"/>
                  </w:divBdr>
                  <w:divsChild>
                    <w:div w:id="20057177">
                      <w:marLeft w:val="0"/>
                      <w:marRight w:val="0"/>
                      <w:marTop w:val="0"/>
                      <w:marBottom w:val="0"/>
                      <w:divBdr>
                        <w:top w:val="none" w:sz="0" w:space="0" w:color="auto"/>
                        <w:left w:val="none" w:sz="0" w:space="0" w:color="auto"/>
                        <w:bottom w:val="none" w:sz="0" w:space="0" w:color="auto"/>
                        <w:right w:val="none" w:sz="0" w:space="0" w:color="auto"/>
                      </w:divBdr>
                      <w:divsChild>
                        <w:div w:id="781535694">
                          <w:marLeft w:val="0"/>
                          <w:marRight w:val="0"/>
                          <w:marTop w:val="0"/>
                          <w:marBottom w:val="0"/>
                          <w:divBdr>
                            <w:top w:val="none" w:sz="0" w:space="0" w:color="auto"/>
                            <w:left w:val="none" w:sz="0" w:space="0" w:color="auto"/>
                            <w:bottom w:val="none" w:sz="0" w:space="0" w:color="auto"/>
                            <w:right w:val="none" w:sz="0" w:space="0" w:color="auto"/>
                          </w:divBdr>
                          <w:divsChild>
                            <w:div w:id="17643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543176698">
      <w:bodyDiv w:val="1"/>
      <w:marLeft w:val="0"/>
      <w:marRight w:val="0"/>
      <w:marTop w:val="0"/>
      <w:marBottom w:val="0"/>
      <w:divBdr>
        <w:top w:val="none" w:sz="0" w:space="0" w:color="auto"/>
        <w:left w:val="none" w:sz="0" w:space="0" w:color="auto"/>
        <w:bottom w:val="none" w:sz="0" w:space="0" w:color="auto"/>
        <w:right w:val="none" w:sz="0" w:space="0" w:color="auto"/>
      </w:divBdr>
      <w:divsChild>
        <w:div w:id="713575952">
          <w:marLeft w:val="0"/>
          <w:marRight w:val="0"/>
          <w:marTop w:val="0"/>
          <w:marBottom w:val="0"/>
          <w:divBdr>
            <w:top w:val="none" w:sz="0" w:space="0" w:color="auto"/>
            <w:left w:val="none" w:sz="0" w:space="0" w:color="auto"/>
            <w:bottom w:val="none" w:sz="0" w:space="0" w:color="auto"/>
            <w:right w:val="none" w:sz="0" w:space="0" w:color="auto"/>
          </w:divBdr>
          <w:divsChild>
            <w:div w:id="1776319554">
              <w:marLeft w:val="0"/>
              <w:marRight w:val="0"/>
              <w:marTop w:val="0"/>
              <w:marBottom w:val="0"/>
              <w:divBdr>
                <w:top w:val="none" w:sz="0" w:space="0" w:color="auto"/>
                <w:left w:val="none" w:sz="0" w:space="0" w:color="auto"/>
                <w:bottom w:val="none" w:sz="0" w:space="0" w:color="auto"/>
                <w:right w:val="none" w:sz="0" w:space="0" w:color="auto"/>
              </w:divBdr>
              <w:divsChild>
                <w:div w:id="1559055261">
                  <w:marLeft w:val="0"/>
                  <w:marRight w:val="0"/>
                  <w:marTop w:val="0"/>
                  <w:marBottom w:val="0"/>
                  <w:divBdr>
                    <w:top w:val="none" w:sz="0" w:space="0" w:color="auto"/>
                    <w:left w:val="none" w:sz="0" w:space="0" w:color="auto"/>
                    <w:bottom w:val="none" w:sz="0" w:space="0" w:color="auto"/>
                    <w:right w:val="none" w:sz="0" w:space="0" w:color="auto"/>
                  </w:divBdr>
                  <w:divsChild>
                    <w:div w:id="1715233051">
                      <w:marLeft w:val="0"/>
                      <w:marRight w:val="0"/>
                      <w:marTop w:val="0"/>
                      <w:marBottom w:val="0"/>
                      <w:divBdr>
                        <w:top w:val="none" w:sz="0" w:space="0" w:color="auto"/>
                        <w:left w:val="none" w:sz="0" w:space="0" w:color="auto"/>
                        <w:bottom w:val="none" w:sz="0" w:space="0" w:color="auto"/>
                        <w:right w:val="none" w:sz="0" w:space="0" w:color="auto"/>
                      </w:divBdr>
                      <w:divsChild>
                        <w:div w:id="703215039">
                          <w:marLeft w:val="0"/>
                          <w:marRight w:val="0"/>
                          <w:marTop w:val="0"/>
                          <w:marBottom w:val="0"/>
                          <w:divBdr>
                            <w:top w:val="none" w:sz="0" w:space="0" w:color="auto"/>
                            <w:left w:val="none" w:sz="0" w:space="0" w:color="auto"/>
                            <w:bottom w:val="none" w:sz="0" w:space="0" w:color="auto"/>
                            <w:right w:val="none" w:sz="0" w:space="0" w:color="auto"/>
                          </w:divBdr>
                          <w:divsChild>
                            <w:div w:id="208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05150">
      <w:bodyDiv w:val="1"/>
      <w:marLeft w:val="0"/>
      <w:marRight w:val="0"/>
      <w:marTop w:val="0"/>
      <w:marBottom w:val="0"/>
      <w:divBdr>
        <w:top w:val="none" w:sz="0" w:space="0" w:color="auto"/>
        <w:left w:val="none" w:sz="0" w:space="0" w:color="auto"/>
        <w:bottom w:val="none" w:sz="0" w:space="0" w:color="auto"/>
        <w:right w:val="none" w:sz="0" w:space="0" w:color="auto"/>
      </w:divBdr>
      <w:divsChild>
        <w:div w:id="499661714">
          <w:marLeft w:val="0"/>
          <w:marRight w:val="0"/>
          <w:marTop w:val="0"/>
          <w:marBottom w:val="0"/>
          <w:divBdr>
            <w:top w:val="none" w:sz="0" w:space="0" w:color="auto"/>
            <w:left w:val="none" w:sz="0" w:space="0" w:color="auto"/>
            <w:bottom w:val="none" w:sz="0" w:space="0" w:color="auto"/>
            <w:right w:val="none" w:sz="0" w:space="0" w:color="auto"/>
          </w:divBdr>
          <w:divsChild>
            <w:div w:id="839464798">
              <w:marLeft w:val="0"/>
              <w:marRight w:val="0"/>
              <w:marTop w:val="0"/>
              <w:marBottom w:val="0"/>
              <w:divBdr>
                <w:top w:val="none" w:sz="0" w:space="0" w:color="auto"/>
                <w:left w:val="none" w:sz="0" w:space="0" w:color="auto"/>
                <w:bottom w:val="none" w:sz="0" w:space="0" w:color="auto"/>
                <w:right w:val="none" w:sz="0" w:space="0" w:color="auto"/>
              </w:divBdr>
              <w:divsChild>
                <w:div w:id="2025473197">
                  <w:marLeft w:val="0"/>
                  <w:marRight w:val="0"/>
                  <w:marTop w:val="0"/>
                  <w:marBottom w:val="0"/>
                  <w:divBdr>
                    <w:top w:val="none" w:sz="0" w:space="0" w:color="auto"/>
                    <w:left w:val="none" w:sz="0" w:space="0" w:color="auto"/>
                    <w:bottom w:val="none" w:sz="0" w:space="0" w:color="auto"/>
                    <w:right w:val="none" w:sz="0" w:space="0" w:color="auto"/>
                  </w:divBdr>
                  <w:divsChild>
                    <w:div w:id="1696298559">
                      <w:marLeft w:val="0"/>
                      <w:marRight w:val="0"/>
                      <w:marTop w:val="0"/>
                      <w:marBottom w:val="0"/>
                      <w:divBdr>
                        <w:top w:val="none" w:sz="0" w:space="0" w:color="auto"/>
                        <w:left w:val="none" w:sz="0" w:space="0" w:color="auto"/>
                        <w:bottom w:val="none" w:sz="0" w:space="0" w:color="auto"/>
                        <w:right w:val="none" w:sz="0" w:space="0" w:color="auto"/>
                      </w:divBdr>
                      <w:divsChild>
                        <w:div w:id="1884907023">
                          <w:marLeft w:val="0"/>
                          <w:marRight w:val="0"/>
                          <w:marTop w:val="0"/>
                          <w:marBottom w:val="0"/>
                          <w:divBdr>
                            <w:top w:val="none" w:sz="0" w:space="0" w:color="auto"/>
                            <w:left w:val="none" w:sz="0" w:space="0" w:color="auto"/>
                            <w:bottom w:val="none" w:sz="0" w:space="0" w:color="auto"/>
                            <w:right w:val="none" w:sz="0" w:space="0" w:color="auto"/>
                          </w:divBdr>
                          <w:divsChild>
                            <w:div w:id="10459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944174">
      <w:bodyDiv w:val="1"/>
      <w:marLeft w:val="0"/>
      <w:marRight w:val="0"/>
      <w:marTop w:val="0"/>
      <w:marBottom w:val="0"/>
      <w:divBdr>
        <w:top w:val="none" w:sz="0" w:space="0" w:color="auto"/>
        <w:left w:val="none" w:sz="0" w:space="0" w:color="auto"/>
        <w:bottom w:val="none" w:sz="0" w:space="0" w:color="auto"/>
        <w:right w:val="none" w:sz="0" w:space="0" w:color="auto"/>
      </w:divBdr>
    </w:div>
    <w:div w:id="1629122701">
      <w:bodyDiv w:val="1"/>
      <w:marLeft w:val="0"/>
      <w:marRight w:val="0"/>
      <w:marTop w:val="0"/>
      <w:marBottom w:val="0"/>
      <w:divBdr>
        <w:top w:val="none" w:sz="0" w:space="0" w:color="auto"/>
        <w:left w:val="none" w:sz="0" w:space="0" w:color="auto"/>
        <w:bottom w:val="none" w:sz="0" w:space="0" w:color="auto"/>
        <w:right w:val="none" w:sz="0" w:space="0" w:color="auto"/>
      </w:divBdr>
    </w:div>
    <w:div w:id="1642341034">
      <w:bodyDiv w:val="1"/>
      <w:marLeft w:val="0"/>
      <w:marRight w:val="0"/>
      <w:marTop w:val="0"/>
      <w:marBottom w:val="0"/>
      <w:divBdr>
        <w:top w:val="none" w:sz="0" w:space="0" w:color="auto"/>
        <w:left w:val="none" w:sz="0" w:space="0" w:color="auto"/>
        <w:bottom w:val="none" w:sz="0" w:space="0" w:color="auto"/>
        <w:right w:val="none" w:sz="0" w:space="0" w:color="auto"/>
      </w:divBdr>
    </w:div>
    <w:div w:id="1716393178">
      <w:bodyDiv w:val="1"/>
      <w:marLeft w:val="0"/>
      <w:marRight w:val="0"/>
      <w:marTop w:val="0"/>
      <w:marBottom w:val="0"/>
      <w:divBdr>
        <w:top w:val="none" w:sz="0" w:space="0" w:color="auto"/>
        <w:left w:val="none" w:sz="0" w:space="0" w:color="auto"/>
        <w:bottom w:val="none" w:sz="0" w:space="0" w:color="auto"/>
        <w:right w:val="none" w:sz="0" w:space="0" w:color="auto"/>
      </w:divBdr>
    </w:div>
    <w:div w:id="1720665129">
      <w:bodyDiv w:val="1"/>
      <w:marLeft w:val="0"/>
      <w:marRight w:val="0"/>
      <w:marTop w:val="0"/>
      <w:marBottom w:val="0"/>
      <w:divBdr>
        <w:top w:val="none" w:sz="0" w:space="0" w:color="auto"/>
        <w:left w:val="none" w:sz="0" w:space="0" w:color="auto"/>
        <w:bottom w:val="none" w:sz="0" w:space="0" w:color="auto"/>
        <w:right w:val="none" w:sz="0" w:space="0" w:color="auto"/>
      </w:divBdr>
      <w:divsChild>
        <w:div w:id="234820212">
          <w:marLeft w:val="0"/>
          <w:marRight w:val="0"/>
          <w:marTop w:val="0"/>
          <w:marBottom w:val="0"/>
          <w:divBdr>
            <w:top w:val="none" w:sz="0" w:space="0" w:color="auto"/>
            <w:left w:val="none" w:sz="0" w:space="0" w:color="auto"/>
            <w:bottom w:val="none" w:sz="0" w:space="0" w:color="auto"/>
            <w:right w:val="none" w:sz="0" w:space="0" w:color="auto"/>
          </w:divBdr>
          <w:divsChild>
            <w:div w:id="1286228227">
              <w:marLeft w:val="0"/>
              <w:marRight w:val="0"/>
              <w:marTop w:val="0"/>
              <w:marBottom w:val="0"/>
              <w:divBdr>
                <w:top w:val="none" w:sz="0" w:space="0" w:color="auto"/>
                <w:left w:val="none" w:sz="0" w:space="0" w:color="auto"/>
                <w:bottom w:val="none" w:sz="0" w:space="0" w:color="auto"/>
                <w:right w:val="none" w:sz="0" w:space="0" w:color="auto"/>
              </w:divBdr>
              <w:divsChild>
                <w:div w:id="1913348842">
                  <w:marLeft w:val="0"/>
                  <w:marRight w:val="0"/>
                  <w:marTop w:val="0"/>
                  <w:marBottom w:val="0"/>
                  <w:divBdr>
                    <w:top w:val="none" w:sz="0" w:space="0" w:color="auto"/>
                    <w:left w:val="none" w:sz="0" w:space="0" w:color="auto"/>
                    <w:bottom w:val="none" w:sz="0" w:space="0" w:color="auto"/>
                    <w:right w:val="none" w:sz="0" w:space="0" w:color="auto"/>
                  </w:divBdr>
                  <w:divsChild>
                    <w:div w:id="820266499">
                      <w:marLeft w:val="0"/>
                      <w:marRight w:val="0"/>
                      <w:marTop w:val="0"/>
                      <w:marBottom w:val="0"/>
                      <w:divBdr>
                        <w:top w:val="none" w:sz="0" w:space="0" w:color="auto"/>
                        <w:left w:val="none" w:sz="0" w:space="0" w:color="auto"/>
                        <w:bottom w:val="none" w:sz="0" w:space="0" w:color="auto"/>
                        <w:right w:val="none" w:sz="0" w:space="0" w:color="auto"/>
                      </w:divBdr>
                      <w:divsChild>
                        <w:div w:id="580212897">
                          <w:marLeft w:val="0"/>
                          <w:marRight w:val="0"/>
                          <w:marTop w:val="0"/>
                          <w:marBottom w:val="0"/>
                          <w:divBdr>
                            <w:top w:val="none" w:sz="0" w:space="0" w:color="auto"/>
                            <w:left w:val="none" w:sz="0" w:space="0" w:color="auto"/>
                            <w:bottom w:val="none" w:sz="0" w:space="0" w:color="auto"/>
                            <w:right w:val="none" w:sz="0" w:space="0" w:color="auto"/>
                          </w:divBdr>
                          <w:divsChild>
                            <w:div w:id="2125228837">
                              <w:marLeft w:val="0"/>
                              <w:marRight w:val="0"/>
                              <w:marTop w:val="0"/>
                              <w:marBottom w:val="0"/>
                              <w:divBdr>
                                <w:top w:val="none" w:sz="0" w:space="0" w:color="auto"/>
                                <w:left w:val="none" w:sz="0" w:space="0" w:color="auto"/>
                                <w:bottom w:val="none" w:sz="0" w:space="0" w:color="auto"/>
                                <w:right w:val="none" w:sz="0" w:space="0" w:color="auto"/>
                              </w:divBdr>
                              <w:divsChild>
                                <w:div w:id="6426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42643">
      <w:bodyDiv w:val="1"/>
      <w:marLeft w:val="0"/>
      <w:marRight w:val="0"/>
      <w:marTop w:val="0"/>
      <w:marBottom w:val="0"/>
      <w:divBdr>
        <w:top w:val="none" w:sz="0" w:space="0" w:color="auto"/>
        <w:left w:val="none" w:sz="0" w:space="0" w:color="auto"/>
        <w:bottom w:val="none" w:sz="0" w:space="0" w:color="auto"/>
        <w:right w:val="none" w:sz="0" w:space="0" w:color="auto"/>
      </w:divBdr>
      <w:divsChild>
        <w:div w:id="2111124456">
          <w:marLeft w:val="0"/>
          <w:marRight w:val="0"/>
          <w:marTop w:val="0"/>
          <w:marBottom w:val="0"/>
          <w:divBdr>
            <w:top w:val="none" w:sz="0" w:space="0" w:color="auto"/>
            <w:left w:val="none" w:sz="0" w:space="0" w:color="auto"/>
            <w:bottom w:val="none" w:sz="0" w:space="0" w:color="auto"/>
            <w:right w:val="none" w:sz="0" w:space="0" w:color="auto"/>
          </w:divBdr>
          <w:divsChild>
            <w:div w:id="245501506">
              <w:marLeft w:val="0"/>
              <w:marRight w:val="0"/>
              <w:marTop w:val="0"/>
              <w:marBottom w:val="0"/>
              <w:divBdr>
                <w:top w:val="none" w:sz="0" w:space="0" w:color="auto"/>
                <w:left w:val="none" w:sz="0" w:space="0" w:color="auto"/>
                <w:bottom w:val="none" w:sz="0" w:space="0" w:color="auto"/>
                <w:right w:val="none" w:sz="0" w:space="0" w:color="auto"/>
              </w:divBdr>
              <w:divsChild>
                <w:div w:id="211159801">
                  <w:marLeft w:val="0"/>
                  <w:marRight w:val="0"/>
                  <w:marTop w:val="0"/>
                  <w:marBottom w:val="0"/>
                  <w:divBdr>
                    <w:top w:val="none" w:sz="0" w:space="0" w:color="auto"/>
                    <w:left w:val="none" w:sz="0" w:space="0" w:color="auto"/>
                    <w:bottom w:val="none" w:sz="0" w:space="0" w:color="auto"/>
                    <w:right w:val="none" w:sz="0" w:space="0" w:color="auto"/>
                  </w:divBdr>
                  <w:divsChild>
                    <w:div w:id="1700473329">
                      <w:marLeft w:val="0"/>
                      <w:marRight w:val="0"/>
                      <w:marTop w:val="0"/>
                      <w:marBottom w:val="0"/>
                      <w:divBdr>
                        <w:top w:val="none" w:sz="0" w:space="0" w:color="auto"/>
                        <w:left w:val="none" w:sz="0" w:space="0" w:color="auto"/>
                        <w:bottom w:val="none" w:sz="0" w:space="0" w:color="auto"/>
                        <w:right w:val="none" w:sz="0" w:space="0" w:color="auto"/>
                      </w:divBdr>
                      <w:divsChild>
                        <w:div w:id="873812884">
                          <w:marLeft w:val="0"/>
                          <w:marRight w:val="0"/>
                          <w:marTop w:val="0"/>
                          <w:marBottom w:val="0"/>
                          <w:divBdr>
                            <w:top w:val="none" w:sz="0" w:space="0" w:color="auto"/>
                            <w:left w:val="none" w:sz="0" w:space="0" w:color="auto"/>
                            <w:bottom w:val="none" w:sz="0" w:space="0" w:color="auto"/>
                            <w:right w:val="none" w:sz="0" w:space="0" w:color="auto"/>
                          </w:divBdr>
                          <w:divsChild>
                            <w:div w:id="1731422567">
                              <w:marLeft w:val="0"/>
                              <w:marRight w:val="0"/>
                              <w:marTop w:val="0"/>
                              <w:marBottom w:val="0"/>
                              <w:divBdr>
                                <w:top w:val="none" w:sz="0" w:space="0" w:color="auto"/>
                                <w:left w:val="none" w:sz="0" w:space="0" w:color="auto"/>
                                <w:bottom w:val="none" w:sz="0" w:space="0" w:color="auto"/>
                                <w:right w:val="none" w:sz="0" w:space="0" w:color="auto"/>
                              </w:divBdr>
                              <w:divsChild>
                                <w:div w:id="14135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 w:id="1958177250">
      <w:bodyDiv w:val="1"/>
      <w:marLeft w:val="0"/>
      <w:marRight w:val="0"/>
      <w:marTop w:val="0"/>
      <w:marBottom w:val="0"/>
      <w:divBdr>
        <w:top w:val="none" w:sz="0" w:space="0" w:color="auto"/>
        <w:left w:val="none" w:sz="0" w:space="0" w:color="auto"/>
        <w:bottom w:val="none" w:sz="0" w:space="0" w:color="auto"/>
        <w:right w:val="none" w:sz="0" w:space="0" w:color="auto"/>
      </w:divBdr>
      <w:divsChild>
        <w:div w:id="813260943">
          <w:marLeft w:val="0"/>
          <w:marRight w:val="0"/>
          <w:marTop w:val="0"/>
          <w:marBottom w:val="0"/>
          <w:divBdr>
            <w:top w:val="none" w:sz="0" w:space="0" w:color="auto"/>
            <w:left w:val="none" w:sz="0" w:space="0" w:color="auto"/>
            <w:bottom w:val="none" w:sz="0" w:space="0" w:color="auto"/>
            <w:right w:val="none" w:sz="0" w:space="0" w:color="auto"/>
          </w:divBdr>
          <w:divsChild>
            <w:div w:id="1776708410">
              <w:marLeft w:val="0"/>
              <w:marRight w:val="0"/>
              <w:marTop w:val="0"/>
              <w:marBottom w:val="0"/>
              <w:divBdr>
                <w:top w:val="none" w:sz="0" w:space="0" w:color="auto"/>
                <w:left w:val="none" w:sz="0" w:space="0" w:color="auto"/>
                <w:bottom w:val="none" w:sz="0" w:space="0" w:color="auto"/>
                <w:right w:val="none" w:sz="0" w:space="0" w:color="auto"/>
              </w:divBdr>
              <w:divsChild>
                <w:div w:id="709184133">
                  <w:marLeft w:val="0"/>
                  <w:marRight w:val="0"/>
                  <w:marTop w:val="0"/>
                  <w:marBottom w:val="0"/>
                  <w:divBdr>
                    <w:top w:val="none" w:sz="0" w:space="0" w:color="auto"/>
                    <w:left w:val="none" w:sz="0" w:space="0" w:color="auto"/>
                    <w:bottom w:val="none" w:sz="0" w:space="0" w:color="auto"/>
                    <w:right w:val="none" w:sz="0" w:space="0" w:color="auto"/>
                  </w:divBdr>
                  <w:divsChild>
                    <w:div w:id="682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412">
      <w:bodyDiv w:val="1"/>
      <w:marLeft w:val="0"/>
      <w:marRight w:val="0"/>
      <w:marTop w:val="0"/>
      <w:marBottom w:val="0"/>
      <w:divBdr>
        <w:top w:val="none" w:sz="0" w:space="0" w:color="auto"/>
        <w:left w:val="none" w:sz="0" w:space="0" w:color="auto"/>
        <w:bottom w:val="none" w:sz="0" w:space="0" w:color="auto"/>
        <w:right w:val="none" w:sz="0" w:space="0" w:color="auto"/>
      </w:divBdr>
      <w:divsChild>
        <w:div w:id="860120278">
          <w:marLeft w:val="0"/>
          <w:marRight w:val="0"/>
          <w:marTop w:val="0"/>
          <w:marBottom w:val="0"/>
          <w:divBdr>
            <w:top w:val="none" w:sz="0" w:space="0" w:color="auto"/>
            <w:left w:val="none" w:sz="0" w:space="0" w:color="auto"/>
            <w:bottom w:val="none" w:sz="0" w:space="0" w:color="auto"/>
            <w:right w:val="none" w:sz="0" w:space="0" w:color="auto"/>
          </w:divBdr>
          <w:divsChild>
            <w:div w:id="297420923">
              <w:marLeft w:val="0"/>
              <w:marRight w:val="0"/>
              <w:marTop w:val="0"/>
              <w:marBottom w:val="0"/>
              <w:divBdr>
                <w:top w:val="none" w:sz="0" w:space="0" w:color="auto"/>
                <w:left w:val="none" w:sz="0" w:space="0" w:color="auto"/>
                <w:bottom w:val="none" w:sz="0" w:space="0" w:color="auto"/>
                <w:right w:val="none" w:sz="0" w:space="0" w:color="auto"/>
              </w:divBdr>
              <w:divsChild>
                <w:div w:id="1600942802">
                  <w:marLeft w:val="0"/>
                  <w:marRight w:val="0"/>
                  <w:marTop w:val="0"/>
                  <w:marBottom w:val="0"/>
                  <w:divBdr>
                    <w:top w:val="none" w:sz="0" w:space="0" w:color="auto"/>
                    <w:left w:val="none" w:sz="0" w:space="0" w:color="auto"/>
                    <w:bottom w:val="none" w:sz="0" w:space="0" w:color="auto"/>
                    <w:right w:val="none" w:sz="0" w:space="0" w:color="auto"/>
                  </w:divBdr>
                  <w:divsChild>
                    <w:div w:id="967054003">
                      <w:marLeft w:val="0"/>
                      <w:marRight w:val="0"/>
                      <w:marTop w:val="0"/>
                      <w:marBottom w:val="0"/>
                      <w:divBdr>
                        <w:top w:val="none" w:sz="0" w:space="0" w:color="auto"/>
                        <w:left w:val="none" w:sz="0" w:space="0" w:color="auto"/>
                        <w:bottom w:val="none" w:sz="0" w:space="0" w:color="auto"/>
                        <w:right w:val="none" w:sz="0" w:space="0" w:color="auto"/>
                      </w:divBdr>
                      <w:divsChild>
                        <w:div w:id="1009529377">
                          <w:marLeft w:val="0"/>
                          <w:marRight w:val="0"/>
                          <w:marTop w:val="0"/>
                          <w:marBottom w:val="0"/>
                          <w:divBdr>
                            <w:top w:val="none" w:sz="0" w:space="0" w:color="auto"/>
                            <w:left w:val="none" w:sz="0" w:space="0" w:color="auto"/>
                            <w:bottom w:val="none" w:sz="0" w:space="0" w:color="auto"/>
                            <w:right w:val="none" w:sz="0" w:space="0" w:color="auto"/>
                          </w:divBdr>
                          <w:divsChild>
                            <w:div w:id="10725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64801">
      <w:bodyDiv w:val="1"/>
      <w:marLeft w:val="0"/>
      <w:marRight w:val="0"/>
      <w:marTop w:val="0"/>
      <w:marBottom w:val="0"/>
      <w:divBdr>
        <w:top w:val="none" w:sz="0" w:space="0" w:color="auto"/>
        <w:left w:val="none" w:sz="0" w:space="0" w:color="auto"/>
        <w:bottom w:val="none" w:sz="0" w:space="0" w:color="auto"/>
        <w:right w:val="none" w:sz="0" w:space="0" w:color="auto"/>
      </w:divBdr>
      <w:divsChild>
        <w:div w:id="879170755">
          <w:marLeft w:val="0"/>
          <w:marRight w:val="0"/>
          <w:marTop w:val="0"/>
          <w:marBottom w:val="0"/>
          <w:divBdr>
            <w:top w:val="none" w:sz="0" w:space="0" w:color="auto"/>
            <w:left w:val="none" w:sz="0" w:space="0" w:color="auto"/>
            <w:bottom w:val="none" w:sz="0" w:space="0" w:color="auto"/>
            <w:right w:val="none" w:sz="0" w:space="0" w:color="auto"/>
          </w:divBdr>
          <w:divsChild>
            <w:div w:id="501045152">
              <w:marLeft w:val="0"/>
              <w:marRight w:val="0"/>
              <w:marTop w:val="0"/>
              <w:marBottom w:val="0"/>
              <w:divBdr>
                <w:top w:val="none" w:sz="0" w:space="0" w:color="auto"/>
                <w:left w:val="none" w:sz="0" w:space="0" w:color="auto"/>
                <w:bottom w:val="none" w:sz="0" w:space="0" w:color="auto"/>
                <w:right w:val="none" w:sz="0" w:space="0" w:color="auto"/>
              </w:divBdr>
              <w:divsChild>
                <w:div w:id="1754162500">
                  <w:marLeft w:val="0"/>
                  <w:marRight w:val="0"/>
                  <w:marTop w:val="0"/>
                  <w:marBottom w:val="0"/>
                  <w:divBdr>
                    <w:top w:val="none" w:sz="0" w:space="0" w:color="auto"/>
                    <w:left w:val="none" w:sz="0" w:space="0" w:color="auto"/>
                    <w:bottom w:val="none" w:sz="0" w:space="0" w:color="auto"/>
                    <w:right w:val="none" w:sz="0" w:space="0" w:color="auto"/>
                  </w:divBdr>
                  <w:divsChild>
                    <w:div w:id="1000307343">
                      <w:marLeft w:val="0"/>
                      <w:marRight w:val="0"/>
                      <w:marTop w:val="0"/>
                      <w:marBottom w:val="0"/>
                      <w:divBdr>
                        <w:top w:val="none" w:sz="0" w:space="0" w:color="auto"/>
                        <w:left w:val="none" w:sz="0" w:space="0" w:color="auto"/>
                        <w:bottom w:val="none" w:sz="0" w:space="0" w:color="auto"/>
                        <w:right w:val="none" w:sz="0" w:space="0" w:color="auto"/>
                      </w:divBdr>
                      <w:divsChild>
                        <w:div w:id="2059935531">
                          <w:marLeft w:val="0"/>
                          <w:marRight w:val="0"/>
                          <w:marTop w:val="0"/>
                          <w:marBottom w:val="0"/>
                          <w:divBdr>
                            <w:top w:val="none" w:sz="0" w:space="0" w:color="auto"/>
                            <w:left w:val="none" w:sz="0" w:space="0" w:color="auto"/>
                            <w:bottom w:val="none" w:sz="0" w:space="0" w:color="auto"/>
                            <w:right w:val="none" w:sz="0" w:space="0" w:color="auto"/>
                          </w:divBdr>
                          <w:divsChild>
                            <w:div w:id="16015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3611">
                  <w:marLeft w:val="0"/>
                  <w:marRight w:val="0"/>
                  <w:marTop w:val="0"/>
                  <w:marBottom w:val="0"/>
                  <w:divBdr>
                    <w:top w:val="none" w:sz="0" w:space="0" w:color="auto"/>
                    <w:left w:val="none" w:sz="0" w:space="0" w:color="auto"/>
                    <w:bottom w:val="none" w:sz="0" w:space="0" w:color="auto"/>
                    <w:right w:val="none" w:sz="0" w:space="0" w:color="auto"/>
                  </w:divBdr>
                  <w:divsChild>
                    <w:div w:id="21068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15206">
      <w:bodyDiv w:val="1"/>
      <w:marLeft w:val="0"/>
      <w:marRight w:val="0"/>
      <w:marTop w:val="0"/>
      <w:marBottom w:val="0"/>
      <w:divBdr>
        <w:top w:val="none" w:sz="0" w:space="0" w:color="auto"/>
        <w:left w:val="none" w:sz="0" w:space="0" w:color="auto"/>
        <w:bottom w:val="none" w:sz="0" w:space="0" w:color="auto"/>
        <w:right w:val="none" w:sz="0" w:space="0" w:color="auto"/>
      </w:divBdr>
    </w:div>
    <w:div w:id="2133163239">
      <w:bodyDiv w:val="1"/>
      <w:marLeft w:val="0"/>
      <w:marRight w:val="0"/>
      <w:marTop w:val="0"/>
      <w:marBottom w:val="0"/>
      <w:divBdr>
        <w:top w:val="none" w:sz="0" w:space="0" w:color="auto"/>
        <w:left w:val="none" w:sz="0" w:space="0" w:color="auto"/>
        <w:bottom w:val="none" w:sz="0" w:space="0" w:color="auto"/>
        <w:right w:val="none" w:sz="0" w:space="0" w:color="auto"/>
      </w:divBdr>
      <w:divsChild>
        <w:div w:id="2054765966">
          <w:marLeft w:val="0"/>
          <w:marRight w:val="0"/>
          <w:marTop w:val="0"/>
          <w:marBottom w:val="0"/>
          <w:divBdr>
            <w:top w:val="none" w:sz="0" w:space="0" w:color="auto"/>
            <w:left w:val="none" w:sz="0" w:space="0" w:color="auto"/>
            <w:bottom w:val="none" w:sz="0" w:space="0" w:color="auto"/>
            <w:right w:val="none" w:sz="0" w:space="0" w:color="auto"/>
          </w:divBdr>
          <w:divsChild>
            <w:div w:id="1957053161">
              <w:marLeft w:val="0"/>
              <w:marRight w:val="0"/>
              <w:marTop w:val="0"/>
              <w:marBottom w:val="0"/>
              <w:divBdr>
                <w:top w:val="none" w:sz="0" w:space="0" w:color="auto"/>
                <w:left w:val="none" w:sz="0" w:space="0" w:color="auto"/>
                <w:bottom w:val="none" w:sz="0" w:space="0" w:color="auto"/>
                <w:right w:val="none" w:sz="0" w:space="0" w:color="auto"/>
              </w:divBdr>
              <w:divsChild>
                <w:div w:id="1469131532">
                  <w:marLeft w:val="0"/>
                  <w:marRight w:val="0"/>
                  <w:marTop w:val="0"/>
                  <w:marBottom w:val="0"/>
                  <w:divBdr>
                    <w:top w:val="none" w:sz="0" w:space="0" w:color="auto"/>
                    <w:left w:val="none" w:sz="0" w:space="0" w:color="auto"/>
                    <w:bottom w:val="none" w:sz="0" w:space="0" w:color="auto"/>
                    <w:right w:val="none" w:sz="0" w:space="0" w:color="auto"/>
                  </w:divBdr>
                  <w:divsChild>
                    <w:div w:id="30809517">
                      <w:marLeft w:val="0"/>
                      <w:marRight w:val="0"/>
                      <w:marTop w:val="0"/>
                      <w:marBottom w:val="0"/>
                      <w:divBdr>
                        <w:top w:val="none" w:sz="0" w:space="0" w:color="auto"/>
                        <w:left w:val="none" w:sz="0" w:space="0" w:color="auto"/>
                        <w:bottom w:val="none" w:sz="0" w:space="0" w:color="auto"/>
                        <w:right w:val="none" w:sz="0" w:space="0" w:color="auto"/>
                      </w:divBdr>
                      <w:divsChild>
                        <w:div w:id="284509482">
                          <w:marLeft w:val="0"/>
                          <w:marRight w:val="0"/>
                          <w:marTop w:val="0"/>
                          <w:marBottom w:val="0"/>
                          <w:divBdr>
                            <w:top w:val="none" w:sz="0" w:space="0" w:color="auto"/>
                            <w:left w:val="none" w:sz="0" w:space="0" w:color="auto"/>
                            <w:bottom w:val="none" w:sz="0" w:space="0" w:color="auto"/>
                            <w:right w:val="none" w:sz="0" w:space="0" w:color="auto"/>
                          </w:divBdr>
                          <w:divsChild>
                            <w:div w:id="1918593499">
                              <w:marLeft w:val="0"/>
                              <w:marRight w:val="0"/>
                              <w:marTop w:val="0"/>
                              <w:marBottom w:val="0"/>
                              <w:divBdr>
                                <w:top w:val="none" w:sz="0" w:space="0" w:color="auto"/>
                                <w:left w:val="none" w:sz="0" w:space="0" w:color="auto"/>
                                <w:bottom w:val="none" w:sz="0" w:space="0" w:color="auto"/>
                                <w:right w:val="none" w:sz="0" w:space="0" w:color="auto"/>
                              </w:divBdr>
                              <w:divsChild>
                                <w:div w:id="1758096244">
                                  <w:marLeft w:val="0"/>
                                  <w:marRight w:val="0"/>
                                  <w:marTop w:val="0"/>
                                  <w:marBottom w:val="0"/>
                                  <w:divBdr>
                                    <w:top w:val="none" w:sz="0" w:space="0" w:color="auto"/>
                                    <w:left w:val="none" w:sz="0" w:space="0" w:color="auto"/>
                                    <w:bottom w:val="none" w:sz="0" w:space="0" w:color="auto"/>
                                    <w:right w:val="none" w:sz="0" w:space="0" w:color="auto"/>
                                  </w:divBdr>
                                  <w:divsChild>
                                    <w:div w:id="4973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2705">
                      <w:marLeft w:val="0"/>
                      <w:marRight w:val="0"/>
                      <w:marTop w:val="0"/>
                      <w:marBottom w:val="0"/>
                      <w:divBdr>
                        <w:top w:val="none" w:sz="0" w:space="0" w:color="auto"/>
                        <w:left w:val="none" w:sz="0" w:space="0" w:color="auto"/>
                        <w:bottom w:val="none" w:sz="0" w:space="0" w:color="auto"/>
                        <w:right w:val="none" w:sz="0" w:space="0" w:color="auto"/>
                      </w:divBdr>
                      <w:divsChild>
                        <w:div w:id="2261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1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87399.themediaframe.eu/links/otegroup260508.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smote.gr/5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5696-B112-48E5-A9BE-CD27A2580DA3}">
  <ds:schemaRefs>
    <ds:schemaRef ds:uri="office.server.policy"/>
  </ds:schemaRefs>
</ds:datastoreItem>
</file>

<file path=customXml/itemProps2.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3.xml><?xml version="1.0" encoding="utf-8"?>
<ds:datastoreItem xmlns:ds="http://schemas.openxmlformats.org/officeDocument/2006/customXml" ds:itemID="{9B02FBC1-B7BB-4180-872C-B066AA85A116}">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a63ba609-ed36-4a9e-b21f-a4dacc36b65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Normal.dotm</Template>
  <TotalTime>172</TotalTime>
  <Pages>16</Pages>
  <Words>6454</Words>
  <Characters>34853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Boua Eleni</cp:lastModifiedBy>
  <cp:revision>80</cp:revision>
  <cp:lastPrinted>2026-05-07T12:08:00Z</cp:lastPrinted>
  <dcterms:created xsi:type="dcterms:W3CDTF">2026-05-07T10:21:00Z</dcterms:created>
  <dcterms:modified xsi:type="dcterms:W3CDTF">2026-05-07T14:29:00Z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